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0CD" w:rsidRPr="00787881" w:rsidRDefault="00E400CD" w:rsidP="00E9300C">
      <w:pPr>
        <w:rPr>
          <w:sz w:val="22"/>
          <w:szCs w:val="22"/>
          <w:lang w:val="es-CL"/>
        </w:rPr>
      </w:pPr>
    </w:p>
    <w:p w:rsidR="00D355AA" w:rsidRPr="00D355AA" w:rsidRDefault="008A4BD2" w:rsidP="00D355AA">
      <w:pPr>
        <w:pStyle w:val="NormalWeb"/>
        <w:shd w:val="clear" w:color="auto" w:fill="FFFFFF"/>
        <w:rPr>
          <w:color w:val="000000"/>
          <w:sz w:val="22"/>
          <w:szCs w:val="22"/>
        </w:rPr>
      </w:pPr>
      <w:r w:rsidRPr="00D355AA">
        <w:rPr>
          <w:b/>
          <w:sz w:val="22"/>
          <w:szCs w:val="22"/>
        </w:rPr>
        <w:t>Course Description</w:t>
      </w:r>
      <w:r w:rsidRPr="00D355AA">
        <w:rPr>
          <w:sz w:val="22"/>
          <w:szCs w:val="22"/>
        </w:rPr>
        <w:t>:</w:t>
      </w:r>
      <w:r w:rsidR="00D9519F" w:rsidRPr="00D355AA">
        <w:rPr>
          <w:sz w:val="22"/>
          <w:szCs w:val="22"/>
        </w:rPr>
        <w:t xml:space="preserve"> </w:t>
      </w:r>
      <w:r w:rsidR="00D355AA" w:rsidRPr="00D355AA">
        <w:rPr>
          <w:color w:val="000000"/>
          <w:sz w:val="22"/>
          <w:szCs w:val="22"/>
        </w:rPr>
        <w:t>This course has two aims. It is first and foremost a methodological course designed to teach graduate students in technology fields how to grapple with the law.</w:t>
      </w:r>
      <w:r w:rsidR="00D355AA" w:rsidRPr="00D355AA">
        <w:rPr>
          <w:rStyle w:val="apple-converted-space"/>
          <w:color w:val="000000"/>
          <w:sz w:val="22"/>
          <w:szCs w:val="22"/>
        </w:rPr>
        <w:t> </w:t>
      </w:r>
      <w:r w:rsidR="00D355AA" w:rsidRPr="00D355AA">
        <w:rPr>
          <w:color w:val="000000"/>
          <w:sz w:val="22"/>
          <w:szCs w:val="22"/>
        </w:rPr>
        <w:br/>
      </w:r>
      <w:r w:rsidR="00D355AA" w:rsidRPr="00D355AA">
        <w:rPr>
          <w:color w:val="000000"/>
          <w:sz w:val="22"/>
          <w:szCs w:val="22"/>
        </w:rPr>
        <w:br/>
        <w:t>Second, it is a survey course of issues at the intersection of law and technology. Global digital networks and associated devices that access, store, manipulate, create, and transmit information have created a host of complex regulatory and political issues. Local, state, national, and international law also heavily influence the development, use, and impact of ICT. This intersection between technology and regulation will be explored in order to introduce students to ICT law and policy issues that they will face as users, employees, designers, citizens, activists, and/or a number of other roles.</w:t>
      </w:r>
      <w:r w:rsidR="00D355AA" w:rsidRPr="00D355AA">
        <w:rPr>
          <w:rStyle w:val="apple-converted-space"/>
          <w:color w:val="000000"/>
          <w:sz w:val="22"/>
          <w:szCs w:val="22"/>
        </w:rPr>
        <w:t> </w:t>
      </w:r>
      <w:r w:rsidR="00D355AA" w:rsidRPr="00D355AA">
        <w:rPr>
          <w:color w:val="000000"/>
          <w:sz w:val="22"/>
          <w:szCs w:val="22"/>
        </w:rPr>
        <w:br/>
      </w:r>
      <w:r w:rsidR="00D355AA" w:rsidRPr="00D355AA">
        <w:rPr>
          <w:color w:val="000000"/>
          <w:sz w:val="22"/>
          <w:szCs w:val="22"/>
        </w:rPr>
        <w:br/>
        <w:t>Topics include governance of network architecture, censorship and access, intellectual property, privacy and identity, liability for insecure systems and defective information, surveillance, computer crime, trans-border data flows, and international information policy.</w:t>
      </w:r>
      <w:r w:rsidR="00D355AA" w:rsidRPr="00D355AA">
        <w:rPr>
          <w:rStyle w:val="apple-converted-space"/>
          <w:color w:val="000000"/>
          <w:sz w:val="22"/>
          <w:szCs w:val="22"/>
        </w:rPr>
        <w:t> </w:t>
      </w:r>
      <w:r w:rsidR="00D355AA" w:rsidRPr="00D355AA">
        <w:rPr>
          <w:color w:val="000000"/>
          <w:sz w:val="22"/>
          <w:szCs w:val="22"/>
        </w:rPr>
        <w:br/>
      </w:r>
      <w:r w:rsidR="00D355AA" w:rsidRPr="00D355AA">
        <w:rPr>
          <w:color w:val="000000"/>
          <w:sz w:val="22"/>
          <w:szCs w:val="22"/>
        </w:rPr>
        <w:br/>
        <w:t>The Legal Analysis in ICT Law &amp; Policy course introduces foundational skills in legal analysis, familiarity with legal materials, and confidence using policy arguments. It involves ongoing and anticipated ICT policy issues, emphasizing both legal and technological foundations. The course objectives are to give students the foundation to communicate and argue effectively about legal and political aspects of technology, to engage in the global ICT policy debates to come, and to firmly understand the underlying technologies from which these issues arise. Assignments will include a short take home midterm essay, a debate, and a final take home essay.</w:t>
      </w:r>
    </w:p>
    <w:p w:rsidR="00D355AA" w:rsidRPr="00D355AA" w:rsidRDefault="00D355AA" w:rsidP="00D355AA">
      <w:pPr>
        <w:pStyle w:val="NormalWeb"/>
        <w:shd w:val="clear" w:color="auto" w:fill="FFFFFF"/>
        <w:rPr>
          <w:color w:val="000000"/>
          <w:sz w:val="22"/>
          <w:szCs w:val="22"/>
        </w:rPr>
      </w:pPr>
      <w:r w:rsidRPr="00D355AA">
        <w:rPr>
          <w:b/>
          <w:bCs/>
          <w:color w:val="000000"/>
          <w:sz w:val="22"/>
          <w:szCs w:val="22"/>
        </w:rPr>
        <w:t>Texts &amp; Readings</w:t>
      </w:r>
    </w:p>
    <w:p w:rsidR="008A4BD2" w:rsidRPr="00D355AA" w:rsidRDefault="00D355AA" w:rsidP="00D355AA">
      <w:pPr>
        <w:pStyle w:val="NormalWeb"/>
        <w:shd w:val="clear" w:color="auto" w:fill="FFFFFF"/>
        <w:rPr>
          <w:color w:val="000000"/>
          <w:sz w:val="22"/>
          <w:szCs w:val="22"/>
        </w:rPr>
      </w:pPr>
      <w:proofErr w:type="gramStart"/>
      <w:r w:rsidRPr="00D355AA">
        <w:rPr>
          <w:color w:val="000000"/>
          <w:sz w:val="22"/>
          <w:szCs w:val="22"/>
        </w:rPr>
        <w:t xml:space="preserve">James </w:t>
      </w:r>
      <w:proofErr w:type="spellStart"/>
      <w:r w:rsidRPr="00D355AA">
        <w:rPr>
          <w:color w:val="000000"/>
          <w:sz w:val="22"/>
          <w:szCs w:val="22"/>
        </w:rPr>
        <w:t>Grimmelmann</w:t>
      </w:r>
      <w:proofErr w:type="spellEnd"/>
      <w:r w:rsidRPr="00D355AA">
        <w:rPr>
          <w:color w:val="000000"/>
          <w:sz w:val="22"/>
          <w:szCs w:val="22"/>
        </w:rPr>
        <w:t>, Internet Law and Problems 5.0, (Semaphore Press).</w:t>
      </w:r>
      <w:proofErr w:type="gramEnd"/>
      <w:r w:rsidRPr="00D355AA">
        <w:rPr>
          <w:rStyle w:val="apple-converted-space"/>
          <w:color w:val="000000"/>
          <w:sz w:val="22"/>
          <w:szCs w:val="22"/>
        </w:rPr>
        <w:t> </w:t>
      </w:r>
      <w:r w:rsidRPr="00D355AA">
        <w:rPr>
          <w:color w:val="000000"/>
          <w:sz w:val="22"/>
          <w:szCs w:val="22"/>
        </w:rPr>
        <w:br/>
        <w:t>This required text is available for download only at www.semaphorepress.com. Semaphore Press uses a publishing model different from the traditional law school casebook publishers. I encourage you to read about Semaphore Press's publishing approach on its website (you’ll love it!). This book has a suggested price of $30. I urge you to pay the suggested retail price in order to keep high-quality legal educational material available at reasonable prices.</w:t>
      </w:r>
    </w:p>
    <w:p w:rsidR="008A4BD2" w:rsidRPr="001F4A9D" w:rsidRDefault="008A4BD2" w:rsidP="008A4BD2">
      <w:pPr>
        <w:rPr>
          <w:sz w:val="22"/>
          <w:szCs w:val="22"/>
        </w:rPr>
      </w:pPr>
      <w:r w:rsidRPr="001F4A9D">
        <w:rPr>
          <w:b/>
          <w:sz w:val="22"/>
          <w:szCs w:val="22"/>
        </w:rPr>
        <w:t>Course Grading</w:t>
      </w:r>
      <w:r w:rsidRPr="001F4A9D">
        <w:rPr>
          <w:sz w:val="22"/>
          <w:szCs w:val="22"/>
        </w:rPr>
        <w:t>:</w:t>
      </w:r>
    </w:p>
    <w:p w:rsidR="008A4BD2" w:rsidRPr="001F4A9D" w:rsidRDefault="008A4BD2" w:rsidP="008A4BD2">
      <w:pPr>
        <w:rPr>
          <w:sz w:val="22"/>
          <w:szCs w:val="22"/>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6"/>
        <w:gridCol w:w="1658"/>
      </w:tblGrid>
      <w:tr w:rsidR="008A4BD2" w:rsidRPr="001F4A9D" w:rsidTr="00A97AF9">
        <w:tc>
          <w:tcPr>
            <w:tcW w:w="7416" w:type="dxa"/>
          </w:tcPr>
          <w:p w:rsidR="008A4BD2" w:rsidRPr="001F4A9D" w:rsidRDefault="00CE734E" w:rsidP="00A42199">
            <w:pPr>
              <w:rPr>
                <w:i/>
                <w:sz w:val="22"/>
                <w:szCs w:val="22"/>
              </w:rPr>
            </w:pPr>
            <w:r>
              <w:rPr>
                <w:sz w:val="22"/>
                <w:szCs w:val="22"/>
              </w:rPr>
              <w:t>Attendance</w:t>
            </w:r>
            <w:r w:rsidR="0098317F" w:rsidRPr="001F4A9D">
              <w:rPr>
                <w:sz w:val="22"/>
                <w:szCs w:val="22"/>
              </w:rPr>
              <w:t xml:space="preserve"> and I</w:t>
            </w:r>
            <w:r w:rsidR="00A97AF9" w:rsidRPr="001F4A9D">
              <w:rPr>
                <w:sz w:val="22"/>
                <w:szCs w:val="22"/>
              </w:rPr>
              <w:t>n-class p</w:t>
            </w:r>
            <w:r w:rsidR="008A4BD2" w:rsidRPr="001F4A9D">
              <w:rPr>
                <w:sz w:val="22"/>
                <w:szCs w:val="22"/>
              </w:rPr>
              <w:t>articipation</w:t>
            </w:r>
            <w:r w:rsidR="00A447E0" w:rsidRPr="001F4A9D">
              <w:rPr>
                <w:sz w:val="22"/>
                <w:szCs w:val="22"/>
              </w:rPr>
              <w:t xml:space="preserve">. </w:t>
            </w:r>
          </w:p>
        </w:tc>
        <w:tc>
          <w:tcPr>
            <w:tcW w:w="1710" w:type="dxa"/>
          </w:tcPr>
          <w:p w:rsidR="008A4BD2" w:rsidRPr="001F4A9D" w:rsidRDefault="00D355AA" w:rsidP="00A42199">
            <w:pPr>
              <w:rPr>
                <w:sz w:val="22"/>
                <w:szCs w:val="22"/>
              </w:rPr>
            </w:pPr>
            <w:r>
              <w:rPr>
                <w:sz w:val="22"/>
                <w:szCs w:val="22"/>
              </w:rPr>
              <w:t>15</w:t>
            </w:r>
            <w:r w:rsidR="008A4BD2" w:rsidRPr="001F4A9D">
              <w:rPr>
                <w:sz w:val="22"/>
                <w:szCs w:val="22"/>
              </w:rPr>
              <w:t>%</w:t>
            </w:r>
          </w:p>
        </w:tc>
      </w:tr>
      <w:tr w:rsidR="00CE734E" w:rsidRPr="001F4A9D" w:rsidTr="00A97AF9">
        <w:trPr>
          <w:trHeight w:val="87"/>
        </w:trPr>
        <w:tc>
          <w:tcPr>
            <w:tcW w:w="7416" w:type="dxa"/>
          </w:tcPr>
          <w:p w:rsidR="00CE734E" w:rsidRPr="001F4A9D" w:rsidRDefault="00CE734E" w:rsidP="00556A57">
            <w:pPr>
              <w:rPr>
                <w:sz w:val="22"/>
                <w:szCs w:val="22"/>
              </w:rPr>
            </w:pPr>
            <w:r>
              <w:rPr>
                <w:sz w:val="22"/>
                <w:szCs w:val="22"/>
              </w:rPr>
              <w:t>Midterm Take Home (one week) E</w:t>
            </w:r>
            <w:r w:rsidR="003135E6">
              <w:rPr>
                <w:sz w:val="22"/>
                <w:szCs w:val="22"/>
              </w:rPr>
              <w:t>ssay</w:t>
            </w:r>
          </w:p>
        </w:tc>
        <w:tc>
          <w:tcPr>
            <w:tcW w:w="1710" w:type="dxa"/>
          </w:tcPr>
          <w:p w:rsidR="00CE734E" w:rsidRPr="001F4A9D" w:rsidRDefault="00D355AA" w:rsidP="00556A57">
            <w:pPr>
              <w:rPr>
                <w:sz w:val="22"/>
                <w:szCs w:val="22"/>
              </w:rPr>
            </w:pPr>
            <w:r>
              <w:rPr>
                <w:sz w:val="22"/>
                <w:szCs w:val="22"/>
              </w:rPr>
              <w:t>10</w:t>
            </w:r>
            <w:r w:rsidR="00CE734E">
              <w:rPr>
                <w:sz w:val="22"/>
                <w:szCs w:val="22"/>
              </w:rPr>
              <w:t>%</w:t>
            </w:r>
          </w:p>
        </w:tc>
      </w:tr>
      <w:tr w:rsidR="008A4BD2" w:rsidRPr="001F4A9D" w:rsidTr="00A97AF9">
        <w:trPr>
          <w:trHeight w:val="87"/>
        </w:trPr>
        <w:tc>
          <w:tcPr>
            <w:tcW w:w="7416" w:type="dxa"/>
          </w:tcPr>
          <w:p w:rsidR="008A4BD2" w:rsidRPr="001F4A9D" w:rsidRDefault="00CA51D9" w:rsidP="00556A57">
            <w:pPr>
              <w:rPr>
                <w:sz w:val="22"/>
                <w:szCs w:val="22"/>
              </w:rPr>
            </w:pPr>
            <w:r w:rsidRPr="001F4A9D">
              <w:rPr>
                <w:sz w:val="22"/>
                <w:szCs w:val="22"/>
              </w:rPr>
              <w:t>Debate</w:t>
            </w:r>
          </w:p>
        </w:tc>
        <w:tc>
          <w:tcPr>
            <w:tcW w:w="1710" w:type="dxa"/>
          </w:tcPr>
          <w:p w:rsidR="008A4BD2" w:rsidRPr="001F4A9D" w:rsidRDefault="00DC7D24" w:rsidP="00556A57">
            <w:pPr>
              <w:rPr>
                <w:sz w:val="22"/>
                <w:szCs w:val="22"/>
              </w:rPr>
            </w:pPr>
            <w:r w:rsidRPr="001F4A9D">
              <w:rPr>
                <w:sz w:val="22"/>
                <w:szCs w:val="22"/>
              </w:rPr>
              <w:t>2</w:t>
            </w:r>
            <w:r w:rsidR="00D355AA">
              <w:rPr>
                <w:sz w:val="22"/>
                <w:szCs w:val="22"/>
              </w:rPr>
              <w:t>5</w:t>
            </w:r>
            <w:r w:rsidR="0098317F" w:rsidRPr="001F4A9D">
              <w:rPr>
                <w:sz w:val="22"/>
                <w:szCs w:val="22"/>
              </w:rPr>
              <w:t>%</w:t>
            </w:r>
          </w:p>
        </w:tc>
      </w:tr>
      <w:tr w:rsidR="0098317F" w:rsidRPr="001F4A9D" w:rsidTr="00A97AF9">
        <w:trPr>
          <w:trHeight w:val="87"/>
        </w:trPr>
        <w:tc>
          <w:tcPr>
            <w:tcW w:w="7416" w:type="dxa"/>
          </w:tcPr>
          <w:p w:rsidR="0098317F" w:rsidRPr="001F4A9D" w:rsidRDefault="00CA51D9" w:rsidP="00556A57">
            <w:pPr>
              <w:rPr>
                <w:sz w:val="22"/>
                <w:szCs w:val="22"/>
              </w:rPr>
            </w:pPr>
            <w:r w:rsidRPr="001F4A9D">
              <w:rPr>
                <w:sz w:val="22"/>
                <w:szCs w:val="22"/>
              </w:rPr>
              <w:t xml:space="preserve">Final </w:t>
            </w:r>
            <w:r w:rsidR="00CE734E">
              <w:rPr>
                <w:sz w:val="22"/>
                <w:szCs w:val="22"/>
              </w:rPr>
              <w:t>Take Home (one week) E</w:t>
            </w:r>
            <w:r w:rsidR="003135E6">
              <w:rPr>
                <w:sz w:val="22"/>
                <w:szCs w:val="22"/>
              </w:rPr>
              <w:t>ssay</w:t>
            </w:r>
          </w:p>
        </w:tc>
        <w:tc>
          <w:tcPr>
            <w:tcW w:w="1710" w:type="dxa"/>
          </w:tcPr>
          <w:p w:rsidR="0098317F" w:rsidRPr="001F4A9D" w:rsidRDefault="00CE734E" w:rsidP="00556A57">
            <w:pPr>
              <w:rPr>
                <w:sz w:val="22"/>
                <w:szCs w:val="22"/>
              </w:rPr>
            </w:pPr>
            <w:r>
              <w:rPr>
                <w:sz w:val="22"/>
                <w:szCs w:val="22"/>
              </w:rPr>
              <w:t>5</w:t>
            </w:r>
            <w:r w:rsidR="00CA51D9" w:rsidRPr="001F4A9D">
              <w:rPr>
                <w:sz w:val="22"/>
                <w:szCs w:val="22"/>
              </w:rPr>
              <w:t>0</w:t>
            </w:r>
            <w:r w:rsidR="0098317F" w:rsidRPr="001F4A9D">
              <w:rPr>
                <w:sz w:val="22"/>
                <w:szCs w:val="22"/>
              </w:rPr>
              <w:t>%</w:t>
            </w:r>
          </w:p>
        </w:tc>
      </w:tr>
    </w:tbl>
    <w:p w:rsidR="00990725" w:rsidRPr="001F4A9D" w:rsidRDefault="00990725" w:rsidP="008A4BD2">
      <w:pPr>
        <w:rPr>
          <w:b/>
          <w:sz w:val="22"/>
          <w:szCs w:val="22"/>
        </w:rPr>
      </w:pPr>
    </w:p>
    <w:p w:rsidR="00A42199" w:rsidRPr="001F4A9D" w:rsidRDefault="00A42199" w:rsidP="0098317F">
      <w:pPr>
        <w:rPr>
          <w:sz w:val="22"/>
          <w:szCs w:val="22"/>
        </w:rPr>
      </w:pPr>
      <w:r w:rsidRPr="001F4A9D">
        <w:rPr>
          <w:sz w:val="22"/>
          <w:szCs w:val="22"/>
          <w:u w:val="single"/>
        </w:rPr>
        <w:lastRenderedPageBreak/>
        <w:t xml:space="preserve">Participation: </w:t>
      </w:r>
      <w:r w:rsidRPr="001F4A9D">
        <w:rPr>
          <w:sz w:val="22"/>
          <w:szCs w:val="22"/>
        </w:rPr>
        <w:t>The success of this class depends upon each student being prepared (carefully completing the reading) and a</w:t>
      </w:r>
      <w:r w:rsidR="00CE734E">
        <w:rPr>
          <w:sz w:val="22"/>
          <w:szCs w:val="22"/>
        </w:rPr>
        <w:t>ctively participating in class. You are expected to read and attend class, but no weekly written assignments are due. You will be called on in class but simply have to send me an email if you are not prepared.</w:t>
      </w:r>
      <w:r w:rsidRPr="001F4A9D">
        <w:rPr>
          <w:sz w:val="22"/>
          <w:szCs w:val="22"/>
        </w:rPr>
        <w:t xml:space="preserve"> </w:t>
      </w:r>
      <w:r w:rsidR="00CE734E">
        <w:rPr>
          <w:sz w:val="22"/>
          <w:szCs w:val="22"/>
        </w:rPr>
        <w:t>Although attendance is not a large portion of your grade, class discussion of the material is intended to prepare you to tackle the subject matter in a comprehensive way (in the form of take home essay exams and debate). Take notes.</w:t>
      </w:r>
    </w:p>
    <w:p w:rsidR="002E51FF" w:rsidRPr="001F4A9D" w:rsidRDefault="002E51FF" w:rsidP="0098317F">
      <w:pPr>
        <w:rPr>
          <w:sz w:val="22"/>
          <w:szCs w:val="22"/>
        </w:rPr>
      </w:pPr>
    </w:p>
    <w:p w:rsidR="00AD16EA" w:rsidRDefault="00AD16EA" w:rsidP="00AD16EA">
      <w:pPr>
        <w:rPr>
          <w:sz w:val="22"/>
          <w:szCs w:val="22"/>
        </w:rPr>
      </w:pPr>
      <w:r>
        <w:rPr>
          <w:sz w:val="22"/>
          <w:szCs w:val="22"/>
          <w:u w:val="single"/>
        </w:rPr>
        <w:t>Midterm</w:t>
      </w:r>
      <w:r w:rsidRPr="001F4A9D">
        <w:rPr>
          <w:sz w:val="22"/>
          <w:szCs w:val="22"/>
          <w:u w:val="single"/>
        </w:rPr>
        <w:t>:</w:t>
      </w:r>
      <w:r>
        <w:rPr>
          <w:sz w:val="22"/>
          <w:szCs w:val="22"/>
        </w:rPr>
        <w:t xml:space="preserve"> The midterm exam is an introduction to the format and type of questions you can expect on the final exam but will only test the material covered to that point. It will not be harshly graded and you will receive feedback on your responses. </w:t>
      </w:r>
    </w:p>
    <w:p w:rsidR="00AD16EA" w:rsidRDefault="00AD16EA" w:rsidP="0098317F">
      <w:pPr>
        <w:rPr>
          <w:sz w:val="22"/>
          <w:szCs w:val="22"/>
          <w:u w:val="single"/>
        </w:rPr>
      </w:pPr>
    </w:p>
    <w:p w:rsidR="00737B69" w:rsidRPr="001F4A9D" w:rsidRDefault="00DC7D24" w:rsidP="0098317F">
      <w:pPr>
        <w:rPr>
          <w:sz w:val="22"/>
          <w:szCs w:val="22"/>
        </w:rPr>
      </w:pPr>
      <w:r w:rsidRPr="001F4A9D">
        <w:rPr>
          <w:sz w:val="22"/>
          <w:szCs w:val="22"/>
          <w:u w:val="single"/>
        </w:rPr>
        <w:t>Debate</w:t>
      </w:r>
      <w:r w:rsidR="00737B69" w:rsidRPr="001F4A9D">
        <w:rPr>
          <w:sz w:val="22"/>
          <w:szCs w:val="22"/>
          <w:u w:val="single"/>
        </w:rPr>
        <w:t>:</w:t>
      </w:r>
      <w:r w:rsidR="00737B69" w:rsidRPr="001F4A9D">
        <w:rPr>
          <w:sz w:val="22"/>
          <w:szCs w:val="22"/>
        </w:rPr>
        <w:t xml:space="preserve"> </w:t>
      </w:r>
      <w:r w:rsidR="00CE734E">
        <w:rPr>
          <w:sz w:val="22"/>
          <w:szCs w:val="22"/>
        </w:rPr>
        <w:t xml:space="preserve">DATE </w:t>
      </w:r>
      <w:proofErr w:type="gramStart"/>
      <w:r w:rsidR="00CE734E">
        <w:rPr>
          <w:sz w:val="22"/>
          <w:szCs w:val="22"/>
        </w:rPr>
        <w:t>TBD  The</w:t>
      </w:r>
      <w:proofErr w:type="gramEnd"/>
      <w:r w:rsidR="00CE734E">
        <w:rPr>
          <w:sz w:val="22"/>
          <w:szCs w:val="22"/>
        </w:rPr>
        <w:t xml:space="preserve"> class will debate the ICT Law &amp; Policy course on a privacy topic at an agreed upon evening day and time. The</w:t>
      </w:r>
      <w:r w:rsidR="00CE734E" w:rsidRPr="001F4A9D">
        <w:rPr>
          <w:sz w:val="22"/>
          <w:szCs w:val="22"/>
        </w:rPr>
        <w:t xml:space="preserve"> topic</w:t>
      </w:r>
      <w:r w:rsidR="00CE734E">
        <w:rPr>
          <w:sz w:val="22"/>
          <w:szCs w:val="22"/>
        </w:rPr>
        <w:t xml:space="preserve"> will be</w:t>
      </w:r>
      <w:r w:rsidR="00CE734E" w:rsidRPr="001F4A9D">
        <w:rPr>
          <w:sz w:val="22"/>
          <w:szCs w:val="22"/>
        </w:rPr>
        <w:t xml:space="preserve"> given in advance. A written submission will be required the day of the debate</w:t>
      </w:r>
      <w:r w:rsidR="00CE734E">
        <w:rPr>
          <w:sz w:val="22"/>
          <w:szCs w:val="22"/>
        </w:rPr>
        <w:t xml:space="preserve"> from each student, but only a few students (chosen by the students) will actually represent each class during the debate. </w:t>
      </w:r>
      <w:r w:rsidR="00CE734E" w:rsidRPr="001F4A9D">
        <w:rPr>
          <w:sz w:val="22"/>
          <w:szCs w:val="22"/>
        </w:rPr>
        <w:t>More detailed instructions will be given in class.</w:t>
      </w:r>
    </w:p>
    <w:p w:rsidR="00CE734E" w:rsidRPr="001F4A9D" w:rsidRDefault="00CE734E" w:rsidP="008A4BD2">
      <w:pPr>
        <w:rPr>
          <w:sz w:val="22"/>
          <w:szCs w:val="22"/>
        </w:rPr>
      </w:pPr>
    </w:p>
    <w:p w:rsidR="00BD5127" w:rsidRPr="001F4A9D" w:rsidRDefault="001F4A9D" w:rsidP="008A4BD2">
      <w:pPr>
        <w:rPr>
          <w:sz w:val="22"/>
          <w:szCs w:val="22"/>
        </w:rPr>
      </w:pPr>
      <w:r w:rsidRPr="001F4A9D">
        <w:rPr>
          <w:sz w:val="22"/>
          <w:szCs w:val="22"/>
          <w:u w:val="single"/>
        </w:rPr>
        <w:t xml:space="preserve">Final </w:t>
      </w:r>
      <w:r w:rsidR="00CE734E">
        <w:rPr>
          <w:sz w:val="22"/>
          <w:szCs w:val="22"/>
          <w:u w:val="single"/>
        </w:rPr>
        <w:t>Exam</w:t>
      </w:r>
      <w:r w:rsidR="00BD5127" w:rsidRPr="001F4A9D">
        <w:rPr>
          <w:sz w:val="22"/>
          <w:szCs w:val="22"/>
        </w:rPr>
        <w:t xml:space="preserve">: </w:t>
      </w:r>
      <w:r w:rsidR="00757A4F" w:rsidRPr="001F4A9D">
        <w:rPr>
          <w:sz w:val="22"/>
          <w:szCs w:val="22"/>
        </w:rPr>
        <w:t xml:space="preserve"> </w:t>
      </w:r>
      <w:r w:rsidR="005B32B1">
        <w:rPr>
          <w:sz w:val="22"/>
          <w:szCs w:val="22"/>
        </w:rPr>
        <w:t>The final exam is comprehensive. All material is fair game.</w:t>
      </w:r>
    </w:p>
    <w:p w:rsidR="0098317F" w:rsidRPr="001F4A9D" w:rsidRDefault="0098317F" w:rsidP="008A4BD2">
      <w:pPr>
        <w:rPr>
          <w:b/>
          <w:sz w:val="22"/>
          <w:szCs w:val="22"/>
        </w:rPr>
      </w:pPr>
    </w:p>
    <w:p w:rsidR="000C64A1" w:rsidRPr="001F4A9D" w:rsidRDefault="000C64A1" w:rsidP="000C64A1">
      <w:pPr>
        <w:rPr>
          <w:b/>
          <w:sz w:val="22"/>
          <w:szCs w:val="22"/>
        </w:rPr>
      </w:pPr>
      <w:r w:rsidRPr="001F4A9D">
        <w:rPr>
          <w:b/>
          <w:sz w:val="22"/>
          <w:szCs w:val="22"/>
        </w:rPr>
        <w:t>Class Policies:</w:t>
      </w:r>
    </w:p>
    <w:p w:rsidR="000C64A1" w:rsidRPr="001F4A9D" w:rsidRDefault="000C64A1" w:rsidP="000C64A1">
      <w:pPr>
        <w:rPr>
          <w:b/>
          <w:sz w:val="22"/>
          <w:szCs w:val="22"/>
        </w:rPr>
      </w:pPr>
    </w:p>
    <w:p w:rsidR="000C64A1" w:rsidRPr="001F4A9D" w:rsidRDefault="000C64A1" w:rsidP="000C64A1">
      <w:pPr>
        <w:rPr>
          <w:sz w:val="22"/>
          <w:szCs w:val="22"/>
        </w:rPr>
      </w:pPr>
      <w:r w:rsidRPr="001F4A9D">
        <w:rPr>
          <w:sz w:val="22"/>
          <w:szCs w:val="22"/>
          <w:u w:val="single"/>
        </w:rPr>
        <w:t>Sensitive Subjects:</w:t>
      </w:r>
      <w:r w:rsidRPr="001F4A9D">
        <w:rPr>
          <w:sz w:val="22"/>
          <w:szCs w:val="22"/>
        </w:rPr>
        <w:t xml:space="preserve">  Some of the subjects covered in this class could be offensive/uncomfortable for some of you.  If you are uncomfortable discussing (or even hearing about) particular topics, please let me know.  I am happy to excuse you from individual classes, and assign alternate assignments to substitute for those points.  </w:t>
      </w:r>
    </w:p>
    <w:p w:rsidR="000C64A1" w:rsidRPr="001F4A9D" w:rsidRDefault="000C64A1" w:rsidP="000C64A1">
      <w:pPr>
        <w:rPr>
          <w:sz w:val="22"/>
          <w:szCs w:val="22"/>
          <w:u w:val="single"/>
        </w:rPr>
      </w:pPr>
    </w:p>
    <w:p w:rsidR="000C64A1" w:rsidRPr="001F4A9D" w:rsidRDefault="000C64A1" w:rsidP="000C64A1">
      <w:pPr>
        <w:rPr>
          <w:sz w:val="22"/>
          <w:szCs w:val="22"/>
        </w:rPr>
      </w:pPr>
      <w:r w:rsidRPr="001F4A9D">
        <w:rPr>
          <w:sz w:val="22"/>
          <w:szCs w:val="22"/>
          <w:u w:val="single"/>
        </w:rPr>
        <w:t>Assignments:</w:t>
      </w:r>
      <w:r w:rsidRPr="001F4A9D">
        <w:rPr>
          <w:sz w:val="22"/>
          <w:szCs w:val="22"/>
        </w:rPr>
        <w:t xml:space="preserve"> Significant points will be deducted for late assignments (a</w:t>
      </w:r>
      <w:r w:rsidR="00DC7D24" w:rsidRPr="001F4A9D">
        <w:rPr>
          <w:sz w:val="22"/>
          <w:szCs w:val="22"/>
        </w:rPr>
        <w:t>bsent compelling circumstances), with the exception of the final paper which will not be accepted after 11:59PM, Dec. 8, 2014.</w:t>
      </w:r>
      <w:r w:rsidRPr="001F4A9D">
        <w:rPr>
          <w:sz w:val="22"/>
          <w:szCs w:val="22"/>
        </w:rPr>
        <w:t xml:space="preserve">  </w:t>
      </w:r>
    </w:p>
    <w:p w:rsidR="000C64A1" w:rsidRPr="001F4A9D" w:rsidRDefault="000C64A1" w:rsidP="000C64A1">
      <w:pPr>
        <w:rPr>
          <w:sz w:val="22"/>
          <w:szCs w:val="22"/>
        </w:rPr>
      </w:pPr>
    </w:p>
    <w:p w:rsidR="000C64A1" w:rsidRPr="001F4A9D" w:rsidRDefault="000C64A1" w:rsidP="000C64A1">
      <w:pPr>
        <w:rPr>
          <w:sz w:val="22"/>
          <w:szCs w:val="22"/>
        </w:rPr>
      </w:pPr>
      <w:r w:rsidRPr="001F4A9D">
        <w:rPr>
          <w:sz w:val="22"/>
          <w:szCs w:val="22"/>
          <w:u w:val="single"/>
        </w:rPr>
        <w:t>Laptops</w:t>
      </w:r>
      <w:r w:rsidRPr="001F4A9D">
        <w:rPr>
          <w:sz w:val="22"/>
          <w:szCs w:val="22"/>
        </w:rPr>
        <w:t xml:space="preserve"> and similar devices can and should be brought to class – but only to ASSIST in the class and group assignments in class. We will often throw out different questions to the class for students to look up and discuss. However, if you are doing anything other than using them for note-taking or in-class assignments, I’ll ask you to stop. No email. No social networking. Repeat reprimands will get you kicked out of class for that day.</w:t>
      </w:r>
    </w:p>
    <w:p w:rsidR="000C64A1" w:rsidRPr="001F4A9D" w:rsidRDefault="000C64A1" w:rsidP="000C64A1">
      <w:pPr>
        <w:rPr>
          <w:sz w:val="22"/>
          <w:szCs w:val="22"/>
        </w:rPr>
      </w:pPr>
    </w:p>
    <w:p w:rsidR="000C64A1" w:rsidRPr="001F4A9D" w:rsidRDefault="000C64A1" w:rsidP="000C64A1">
      <w:pPr>
        <w:rPr>
          <w:b/>
          <w:sz w:val="22"/>
          <w:szCs w:val="22"/>
        </w:rPr>
      </w:pPr>
      <w:r w:rsidRPr="001F4A9D">
        <w:rPr>
          <w:b/>
          <w:sz w:val="22"/>
          <w:szCs w:val="22"/>
        </w:rPr>
        <w:t>General Policies:</w:t>
      </w:r>
    </w:p>
    <w:p w:rsidR="000C64A1" w:rsidRPr="001F4A9D" w:rsidRDefault="000C64A1" w:rsidP="000C64A1">
      <w:pPr>
        <w:rPr>
          <w:rStyle w:val="policytitle"/>
          <w:sz w:val="22"/>
          <w:szCs w:val="22"/>
          <w:u w:val="single"/>
        </w:rPr>
      </w:pPr>
    </w:p>
    <w:p w:rsidR="000C64A1" w:rsidRPr="001F4A9D" w:rsidRDefault="000C64A1" w:rsidP="000C64A1">
      <w:pPr>
        <w:rPr>
          <w:rStyle w:val="policytitle"/>
          <w:sz w:val="22"/>
          <w:szCs w:val="22"/>
        </w:rPr>
      </w:pPr>
      <w:r w:rsidRPr="001F4A9D">
        <w:rPr>
          <w:rStyle w:val="policytitle"/>
          <w:sz w:val="22"/>
          <w:szCs w:val="22"/>
          <w:u w:val="single"/>
        </w:rPr>
        <w:t>Disability Accommodations:</w:t>
      </w:r>
      <w:r w:rsidRPr="001F4A9D">
        <w:rPr>
          <w:rStyle w:val="policytitle"/>
          <w:sz w:val="22"/>
          <w:szCs w:val="22"/>
        </w:rPr>
        <w:t xml:space="preserve"> If you have a disability for which you are or may be requesting accommodations for this class, please speak with me. These conversations will be kept confidential. Students may also discuss their needs with the University’s Academic Resource Center staff, located in the </w:t>
      </w:r>
      <w:proofErr w:type="spellStart"/>
      <w:r w:rsidRPr="001F4A9D">
        <w:rPr>
          <w:rStyle w:val="policytitle"/>
          <w:sz w:val="22"/>
          <w:szCs w:val="22"/>
        </w:rPr>
        <w:t>Leavey</w:t>
      </w:r>
      <w:proofErr w:type="spellEnd"/>
      <w:r w:rsidRPr="001F4A9D">
        <w:rPr>
          <w:rStyle w:val="policytitle"/>
          <w:sz w:val="22"/>
          <w:szCs w:val="22"/>
        </w:rPr>
        <w:t xml:space="preserve"> Center, Suite 335, 202-687-8354, arc@georgetown.edu. More details can be found at </w:t>
      </w:r>
      <w:hyperlink r:id="rId9" w:history="1">
        <w:r w:rsidRPr="001F4A9D">
          <w:rPr>
            <w:rStyle w:val="Hyperlink"/>
            <w:sz w:val="22"/>
            <w:szCs w:val="22"/>
          </w:rPr>
          <w:t>http://academicsupport.georgetown.edu/disability/</w:t>
        </w:r>
      </w:hyperlink>
      <w:r w:rsidRPr="001F4A9D">
        <w:rPr>
          <w:rStyle w:val="policytitle"/>
          <w:sz w:val="22"/>
          <w:szCs w:val="22"/>
        </w:rPr>
        <w:t>.</w:t>
      </w:r>
    </w:p>
    <w:p w:rsidR="000C64A1" w:rsidRPr="001F4A9D" w:rsidRDefault="000C64A1" w:rsidP="000C64A1">
      <w:pPr>
        <w:rPr>
          <w:rStyle w:val="policytitle"/>
          <w:sz w:val="22"/>
          <w:szCs w:val="22"/>
          <w:u w:val="single"/>
        </w:rPr>
      </w:pPr>
    </w:p>
    <w:p w:rsidR="000C64A1" w:rsidRPr="001F4A9D" w:rsidRDefault="000C64A1" w:rsidP="000C64A1">
      <w:pPr>
        <w:rPr>
          <w:rStyle w:val="policytitle"/>
          <w:sz w:val="22"/>
          <w:szCs w:val="22"/>
        </w:rPr>
      </w:pPr>
      <w:r w:rsidRPr="001F4A9D">
        <w:rPr>
          <w:rStyle w:val="policytitle"/>
          <w:sz w:val="22"/>
          <w:szCs w:val="22"/>
          <w:u w:val="single"/>
        </w:rPr>
        <w:t xml:space="preserve">Religious Observances: </w:t>
      </w:r>
      <w:r w:rsidRPr="001F4A9D">
        <w:rPr>
          <w:rStyle w:val="policytitle"/>
          <w:sz w:val="22"/>
          <w:szCs w:val="22"/>
        </w:rPr>
        <w:t xml:space="preserve">Georgetown University promotes respect for all religions. Any student who is unable to attend classes or to participate in any examination, presentation, or assignment on a </w:t>
      </w:r>
      <w:proofErr w:type="gramStart"/>
      <w:r w:rsidRPr="001F4A9D">
        <w:rPr>
          <w:rStyle w:val="policytitle"/>
          <w:sz w:val="22"/>
          <w:szCs w:val="22"/>
        </w:rPr>
        <w:t>given  day</w:t>
      </w:r>
      <w:proofErr w:type="gramEnd"/>
      <w:r w:rsidRPr="001F4A9D">
        <w:rPr>
          <w:rStyle w:val="policytitle"/>
          <w:sz w:val="22"/>
          <w:szCs w:val="22"/>
        </w:rPr>
        <w:t xml:space="preserve"> because of the observance of a major religious holiday or related travel shall  be excused and provided with the opportunity to make up, without unreasonable burden, any work that has been missed for this reason and shall not in any other way be penalized for the absence or rescheduled work. Students will remain responsible for all assigned work. Students should notify professors in writing at the beginning of the semester of religious observances that conflict with their classes. The Office of the Provost, in consultation with Campus Ministry and the Registrar, will publish, before classes begin for a given term, a list of major religious holidays likely to affect Georgetown students. The 2013-2014 list of holidays can be found at </w:t>
      </w:r>
      <w:hyperlink r:id="rId10" w:history="1">
        <w:r w:rsidRPr="001F4A9D">
          <w:rPr>
            <w:rStyle w:val="Hyperlink"/>
            <w:sz w:val="22"/>
            <w:szCs w:val="22"/>
          </w:rPr>
          <w:t>http://campusministry.georgetown.edu/files/Campus%20Ministry%20Religious%20Days%202013-14.pdf</w:t>
        </w:r>
      </w:hyperlink>
      <w:r w:rsidRPr="001F4A9D">
        <w:rPr>
          <w:sz w:val="22"/>
          <w:szCs w:val="22"/>
        </w:rPr>
        <w:t>.</w:t>
      </w:r>
      <w:r w:rsidRPr="001F4A9D">
        <w:rPr>
          <w:rStyle w:val="policytitle"/>
          <w:sz w:val="22"/>
          <w:szCs w:val="22"/>
        </w:rPr>
        <w:t xml:space="preserve"> Students who cannot be accommodated should discuss the matter with an advising dean. </w:t>
      </w:r>
    </w:p>
    <w:p w:rsidR="000C64A1" w:rsidRPr="001F4A9D" w:rsidRDefault="000C64A1" w:rsidP="000C64A1">
      <w:pPr>
        <w:rPr>
          <w:rStyle w:val="policytitle"/>
          <w:sz w:val="22"/>
          <w:szCs w:val="22"/>
          <w:u w:val="single"/>
        </w:rPr>
      </w:pPr>
    </w:p>
    <w:p w:rsidR="000C64A1" w:rsidRPr="001F4A9D" w:rsidRDefault="000C64A1" w:rsidP="000C64A1">
      <w:pPr>
        <w:rPr>
          <w:rStyle w:val="policytitle"/>
          <w:sz w:val="22"/>
          <w:szCs w:val="22"/>
        </w:rPr>
      </w:pPr>
      <w:r w:rsidRPr="001F4A9D">
        <w:rPr>
          <w:rStyle w:val="policytitle"/>
          <w:sz w:val="22"/>
          <w:szCs w:val="22"/>
          <w:u w:val="single"/>
        </w:rPr>
        <w:t xml:space="preserve">Classroom Behavior: </w:t>
      </w:r>
      <w:r w:rsidRPr="001F4A9D">
        <w:rPr>
          <w:rStyle w:val="policytitle"/>
          <w:sz w:val="22"/>
          <w:szCs w:val="22"/>
        </w:rPr>
        <w:t xml:space="preserve">Students and faculty each have responsibility for maintaining an appropriate learning environment. Those who fail to adhere to such behavioral standards may be subject to discipline. Professional courtesy and sensitivity are especially important with respect to individuals and topics dealing with differences of race, color, culture, religion, creed, politics, veteran's status, sexual orientation, gender, gender identity and gender expression, age, disability, and nationalities.  Class rosters are provided to the instructor with the student's legal name. We will gladly honor your request to address you by an alternate name or gender pronoun. Please advise me of this preference early in the semester so that we may make appropriate changes to my records.  See the Student Code of Conduct at </w:t>
      </w:r>
      <w:hyperlink r:id="rId11" w:history="1">
        <w:r w:rsidRPr="001F4A9D">
          <w:rPr>
            <w:rStyle w:val="Hyperlink"/>
            <w:sz w:val="22"/>
            <w:szCs w:val="22"/>
          </w:rPr>
          <w:t>http://studentconduct.georgetown.edu/files/Code%20of%20Conduct%202013.pdf</w:t>
        </w:r>
      </w:hyperlink>
      <w:r w:rsidRPr="001F4A9D">
        <w:rPr>
          <w:sz w:val="22"/>
          <w:szCs w:val="22"/>
        </w:rPr>
        <w:t xml:space="preserve"> for more information.</w:t>
      </w:r>
    </w:p>
    <w:p w:rsidR="000C64A1" w:rsidRPr="001F4A9D" w:rsidRDefault="000C64A1" w:rsidP="000C64A1">
      <w:pPr>
        <w:rPr>
          <w:rStyle w:val="policytitle"/>
          <w:sz w:val="22"/>
          <w:szCs w:val="22"/>
        </w:rPr>
      </w:pPr>
    </w:p>
    <w:p w:rsidR="000C64A1" w:rsidRPr="001F4A9D" w:rsidRDefault="000C64A1" w:rsidP="000C64A1">
      <w:pPr>
        <w:rPr>
          <w:rStyle w:val="policytitle"/>
          <w:sz w:val="22"/>
          <w:szCs w:val="22"/>
        </w:rPr>
      </w:pPr>
      <w:r w:rsidRPr="001F4A9D">
        <w:rPr>
          <w:rStyle w:val="policytitle"/>
          <w:sz w:val="22"/>
          <w:szCs w:val="22"/>
          <w:u w:val="single"/>
        </w:rPr>
        <w:t xml:space="preserve">Discrimination and Harassment: </w:t>
      </w:r>
      <w:r w:rsidR="001F18DB" w:rsidRPr="001F4A9D">
        <w:rPr>
          <w:rStyle w:val="policytitle"/>
          <w:sz w:val="22"/>
          <w:szCs w:val="22"/>
        </w:rPr>
        <w:t>Georgetown University policies related to bias, discrimination, and harassment policy apply to all students, staff, and faculty</w:t>
      </w:r>
      <w:r w:rsidRPr="001F4A9D">
        <w:rPr>
          <w:rStyle w:val="policytitle"/>
          <w:sz w:val="22"/>
          <w:szCs w:val="22"/>
        </w:rPr>
        <w:t xml:space="preserve">.  Any student, staff, or faculty member who believes s/he has been the subject of sexual harassment or discrimination or harassment based upon race, color, national origin, sex, age, disability, creed, religion, sexual orientation, or veteran status should contact the Office of Compliance and Ethics at 202-687-6493, Institutional Diversity, Equity &amp; Affirmative Action at 202-687-4798, or the Center for Multicultural Equity &amp; Access at 202-687-4054. Information about the above referenced policies and the campus resources available to assist individuals regarding discrimination or harassment can be obtained at </w:t>
      </w:r>
      <w:hyperlink r:id="rId12" w:history="1">
        <w:r w:rsidRPr="001F4A9D">
          <w:rPr>
            <w:rStyle w:val="Hyperlink"/>
            <w:sz w:val="22"/>
            <w:szCs w:val="22"/>
          </w:rPr>
          <w:t>http://compliance.georgetown.edu/</w:t>
        </w:r>
      </w:hyperlink>
      <w:r w:rsidRPr="001F4A9D">
        <w:rPr>
          <w:sz w:val="22"/>
          <w:szCs w:val="22"/>
        </w:rPr>
        <w:t>.</w:t>
      </w:r>
    </w:p>
    <w:p w:rsidR="000C64A1" w:rsidRPr="001F4A9D" w:rsidRDefault="000C64A1" w:rsidP="000C64A1">
      <w:pPr>
        <w:rPr>
          <w:rStyle w:val="policytitle"/>
          <w:sz w:val="22"/>
          <w:szCs w:val="22"/>
          <w:u w:val="single"/>
        </w:rPr>
      </w:pPr>
    </w:p>
    <w:p w:rsidR="000C64A1" w:rsidRPr="001F4A9D" w:rsidRDefault="000C64A1" w:rsidP="000C64A1">
      <w:pPr>
        <w:rPr>
          <w:sz w:val="22"/>
          <w:szCs w:val="22"/>
        </w:rPr>
      </w:pPr>
      <w:r w:rsidRPr="001F4A9D">
        <w:rPr>
          <w:rStyle w:val="policytitle"/>
          <w:sz w:val="22"/>
          <w:szCs w:val="22"/>
          <w:u w:val="single"/>
        </w:rPr>
        <w:t xml:space="preserve">Honor Code: </w:t>
      </w:r>
      <w:r w:rsidRPr="001F4A9D">
        <w:rPr>
          <w:rStyle w:val="policytitle"/>
          <w:sz w:val="22"/>
          <w:szCs w:val="22"/>
        </w:rPr>
        <w:t>All students of the Georgetown University are responsible for knowing and adhering to the academic integrity policy of this institution. Violations of this policy may include: cheating, plagiarism, aid of academic dishonesty, fabrication, lying, bribery, and threatening behavior.  All incidents of academic misconduct shall be reported to the Honor Council (</w:t>
      </w:r>
      <w:r w:rsidRPr="001F4A9D">
        <w:rPr>
          <w:color w:val="000000"/>
          <w:sz w:val="22"/>
          <w:szCs w:val="22"/>
          <w:shd w:val="clear" w:color="auto" w:fill="FFFFFF"/>
        </w:rPr>
        <w:t>carrollprograms@georgetown.edu</w:t>
      </w:r>
      <w:r w:rsidRPr="001F4A9D">
        <w:rPr>
          <w:rStyle w:val="policytitle"/>
          <w:sz w:val="22"/>
          <w:szCs w:val="22"/>
        </w:rPr>
        <w:t xml:space="preserve">; 202-687-0665). Students who are found to be in violation of the academic integrity policy will be subject to both academic sanctions from the faculty member and non-academic sanctions (including but not limited to university probation, suspension, or expulsion). Other information on the Honor Code can be found at </w:t>
      </w:r>
      <w:hyperlink r:id="rId13" w:history="1">
        <w:r w:rsidRPr="001F4A9D">
          <w:rPr>
            <w:rStyle w:val="Hyperlink"/>
            <w:sz w:val="22"/>
            <w:szCs w:val="22"/>
          </w:rPr>
          <w:t>http://gervaseprograms.georgetown.edu/honor/system/</w:t>
        </w:r>
      </w:hyperlink>
      <w:r w:rsidRPr="001F4A9D">
        <w:rPr>
          <w:sz w:val="22"/>
          <w:szCs w:val="22"/>
        </w:rPr>
        <w:t>.</w:t>
      </w:r>
    </w:p>
    <w:p w:rsidR="008A4BD2" w:rsidRPr="001F4A9D" w:rsidRDefault="008A4BD2" w:rsidP="00ED452B">
      <w:pPr>
        <w:tabs>
          <w:tab w:val="left" w:pos="2760"/>
        </w:tabs>
        <w:rPr>
          <w:sz w:val="22"/>
          <w:szCs w:val="22"/>
        </w:rPr>
      </w:pPr>
      <w:r w:rsidRPr="001F4A9D">
        <w:rPr>
          <w:b/>
          <w:sz w:val="22"/>
          <w:szCs w:val="22"/>
        </w:rPr>
        <w:lastRenderedPageBreak/>
        <w:t xml:space="preserve">Course Calendar: </w:t>
      </w:r>
    </w:p>
    <w:p w:rsidR="00202D4F" w:rsidRPr="001F4A9D" w:rsidRDefault="00202D4F" w:rsidP="008A4BD2">
      <w:pPr>
        <w:rPr>
          <w:b/>
          <w:sz w:val="22"/>
          <w:szCs w:val="22"/>
        </w:rPr>
      </w:pPr>
    </w:p>
    <w:tbl>
      <w:tblPr>
        <w:tblW w:w="88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82"/>
        <w:gridCol w:w="1800"/>
        <w:gridCol w:w="6031"/>
      </w:tblGrid>
      <w:tr w:rsidR="00DD3536" w:rsidRPr="001F4A9D" w:rsidTr="001F4A9D">
        <w:trPr>
          <w:trHeight w:val="413"/>
        </w:trPr>
        <w:tc>
          <w:tcPr>
            <w:tcW w:w="982" w:type="dxa"/>
            <w:shd w:val="clear" w:color="auto" w:fill="auto"/>
            <w:hideMark/>
          </w:tcPr>
          <w:p w:rsidR="002220B8" w:rsidRPr="001F4A9D" w:rsidRDefault="002220B8" w:rsidP="00DD3536">
            <w:pPr>
              <w:rPr>
                <w:b/>
                <w:color w:val="000000"/>
                <w:sz w:val="22"/>
                <w:szCs w:val="22"/>
              </w:rPr>
            </w:pPr>
            <w:r w:rsidRPr="001F4A9D">
              <w:rPr>
                <w:b/>
                <w:color w:val="000000"/>
                <w:sz w:val="22"/>
                <w:szCs w:val="22"/>
              </w:rPr>
              <w:t>Date</w:t>
            </w:r>
          </w:p>
        </w:tc>
        <w:tc>
          <w:tcPr>
            <w:tcW w:w="1800" w:type="dxa"/>
            <w:shd w:val="clear" w:color="auto" w:fill="auto"/>
            <w:hideMark/>
          </w:tcPr>
          <w:p w:rsidR="002220B8" w:rsidRPr="001F4A9D" w:rsidRDefault="002220B8" w:rsidP="003D3E58">
            <w:pPr>
              <w:rPr>
                <w:b/>
                <w:color w:val="000000"/>
                <w:sz w:val="22"/>
                <w:szCs w:val="22"/>
              </w:rPr>
            </w:pPr>
            <w:r w:rsidRPr="001F4A9D">
              <w:rPr>
                <w:b/>
                <w:color w:val="000000"/>
                <w:sz w:val="22"/>
                <w:szCs w:val="22"/>
              </w:rPr>
              <w:t>T</w:t>
            </w:r>
            <w:r w:rsidR="003D3E58" w:rsidRPr="001F4A9D">
              <w:rPr>
                <w:b/>
                <w:color w:val="000000"/>
                <w:sz w:val="22"/>
                <w:szCs w:val="22"/>
              </w:rPr>
              <w:t>opic</w:t>
            </w:r>
          </w:p>
        </w:tc>
        <w:tc>
          <w:tcPr>
            <w:tcW w:w="6031" w:type="dxa"/>
            <w:shd w:val="clear" w:color="auto" w:fill="auto"/>
            <w:hideMark/>
          </w:tcPr>
          <w:p w:rsidR="002220B8" w:rsidRPr="001F4A9D" w:rsidRDefault="002220B8" w:rsidP="00DD3536">
            <w:pPr>
              <w:rPr>
                <w:b/>
                <w:color w:val="000000"/>
                <w:sz w:val="22"/>
                <w:szCs w:val="22"/>
              </w:rPr>
            </w:pPr>
            <w:r w:rsidRPr="001F4A9D">
              <w:rPr>
                <w:b/>
                <w:color w:val="000000"/>
                <w:sz w:val="22"/>
                <w:szCs w:val="22"/>
              </w:rPr>
              <w:t xml:space="preserve">Assignments for </w:t>
            </w:r>
            <w:r w:rsidR="00345A2F" w:rsidRPr="001F4A9D">
              <w:rPr>
                <w:b/>
                <w:color w:val="000000"/>
                <w:sz w:val="22"/>
                <w:szCs w:val="22"/>
              </w:rPr>
              <w:t>class (due on date listed)</w:t>
            </w:r>
          </w:p>
        </w:tc>
      </w:tr>
      <w:tr w:rsidR="00DD3536" w:rsidRPr="001F4A9D" w:rsidTr="001F4A9D">
        <w:trPr>
          <w:trHeight w:val="20"/>
        </w:trPr>
        <w:tc>
          <w:tcPr>
            <w:tcW w:w="982" w:type="dxa"/>
            <w:shd w:val="clear" w:color="auto" w:fill="auto"/>
            <w:hideMark/>
          </w:tcPr>
          <w:p w:rsidR="00202D4F" w:rsidRDefault="005B32B1" w:rsidP="00DD3536">
            <w:pPr>
              <w:rPr>
                <w:color w:val="000000"/>
                <w:sz w:val="22"/>
                <w:szCs w:val="22"/>
              </w:rPr>
            </w:pPr>
            <w:r>
              <w:rPr>
                <w:color w:val="000000"/>
                <w:sz w:val="22"/>
                <w:szCs w:val="22"/>
              </w:rPr>
              <w:t>1</w:t>
            </w:r>
          </w:p>
          <w:p w:rsidR="00FF79B9" w:rsidRPr="001F4A9D" w:rsidRDefault="00D10F56" w:rsidP="00DD3536">
            <w:pPr>
              <w:rPr>
                <w:color w:val="000000"/>
                <w:sz w:val="22"/>
                <w:szCs w:val="22"/>
              </w:rPr>
            </w:pPr>
            <w:r>
              <w:rPr>
                <w:color w:val="000000"/>
                <w:sz w:val="22"/>
                <w:szCs w:val="22"/>
              </w:rPr>
              <w:t>1</w:t>
            </w:r>
            <w:r w:rsidR="00FF79B9">
              <w:rPr>
                <w:color w:val="000000"/>
                <w:sz w:val="22"/>
                <w:szCs w:val="22"/>
              </w:rPr>
              <w:t>/20</w:t>
            </w:r>
          </w:p>
        </w:tc>
        <w:tc>
          <w:tcPr>
            <w:tcW w:w="1800" w:type="dxa"/>
            <w:shd w:val="clear" w:color="auto" w:fill="auto"/>
            <w:hideMark/>
          </w:tcPr>
          <w:p w:rsidR="00202D4F" w:rsidRPr="001F4A9D" w:rsidRDefault="00345A2F" w:rsidP="00DD3536">
            <w:pPr>
              <w:rPr>
                <w:color w:val="000000"/>
                <w:sz w:val="22"/>
                <w:szCs w:val="22"/>
              </w:rPr>
            </w:pPr>
            <w:r w:rsidRPr="001F4A9D">
              <w:rPr>
                <w:color w:val="000000"/>
                <w:sz w:val="22"/>
                <w:szCs w:val="22"/>
              </w:rPr>
              <w:t>Class Introduction</w:t>
            </w:r>
          </w:p>
          <w:p w:rsidR="00345A2F" w:rsidRPr="001F4A9D" w:rsidRDefault="00345A2F" w:rsidP="00DD3536">
            <w:pPr>
              <w:rPr>
                <w:color w:val="000000"/>
                <w:sz w:val="22"/>
                <w:szCs w:val="22"/>
              </w:rPr>
            </w:pPr>
          </w:p>
        </w:tc>
        <w:tc>
          <w:tcPr>
            <w:tcW w:w="6031" w:type="dxa"/>
            <w:shd w:val="clear" w:color="auto" w:fill="auto"/>
            <w:hideMark/>
          </w:tcPr>
          <w:p w:rsidR="00033827" w:rsidRDefault="00D355AA" w:rsidP="00072958">
            <w:pPr>
              <w:pStyle w:val="ColorfulList-Accent11"/>
              <w:numPr>
                <w:ilvl w:val="0"/>
                <w:numId w:val="11"/>
              </w:numPr>
              <w:rPr>
                <w:color w:val="000000"/>
                <w:sz w:val="22"/>
                <w:szCs w:val="22"/>
              </w:rPr>
            </w:pPr>
            <w:r>
              <w:rPr>
                <w:color w:val="000000"/>
                <w:sz w:val="22"/>
                <w:szCs w:val="22"/>
              </w:rPr>
              <w:t>How to read the law:</w:t>
            </w:r>
          </w:p>
          <w:p w:rsidR="00D355AA" w:rsidRDefault="00D355AA" w:rsidP="00D355AA">
            <w:pPr>
              <w:pStyle w:val="ColorfulList-Accent11"/>
              <w:numPr>
                <w:ilvl w:val="1"/>
                <w:numId w:val="11"/>
              </w:numPr>
              <w:rPr>
                <w:color w:val="000000"/>
                <w:sz w:val="22"/>
                <w:szCs w:val="22"/>
              </w:rPr>
            </w:pPr>
            <w:hyperlink r:id="rId14" w:history="1">
              <w:r w:rsidRPr="00D355AA">
                <w:rPr>
                  <w:rStyle w:val="Hyperlink"/>
                  <w:sz w:val="22"/>
                  <w:szCs w:val="22"/>
                </w:rPr>
                <w:t>A Guide to Reading, Interpreting, and Applying Statutes</w:t>
              </w:r>
            </w:hyperlink>
            <w:r>
              <w:rPr>
                <w:color w:val="000000"/>
                <w:sz w:val="22"/>
                <w:szCs w:val="22"/>
              </w:rPr>
              <w:t>, Georgetown Law Center (2006)</w:t>
            </w:r>
          </w:p>
          <w:p w:rsidR="00D355AA" w:rsidRDefault="00D355AA" w:rsidP="00D355AA">
            <w:pPr>
              <w:pStyle w:val="ColorfulList-Accent11"/>
              <w:numPr>
                <w:ilvl w:val="1"/>
                <w:numId w:val="11"/>
              </w:numPr>
              <w:rPr>
                <w:color w:val="000000"/>
                <w:sz w:val="22"/>
                <w:szCs w:val="22"/>
              </w:rPr>
            </w:pPr>
            <w:hyperlink r:id="rId15" w:history="1">
              <w:r w:rsidRPr="00D355AA">
                <w:rPr>
                  <w:rStyle w:val="Hyperlink"/>
                  <w:sz w:val="22"/>
                  <w:szCs w:val="22"/>
                </w:rPr>
                <w:t>Using Cases in Legal Analysis</w:t>
              </w:r>
            </w:hyperlink>
            <w:r>
              <w:rPr>
                <w:color w:val="000000"/>
                <w:sz w:val="22"/>
                <w:szCs w:val="22"/>
              </w:rPr>
              <w:t>, Georgetown Law Center (2012).</w:t>
            </w:r>
          </w:p>
          <w:p w:rsidR="003D1644" w:rsidRDefault="003D1644" w:rsidP="00D355AA">
            <w:pPr>
              <w:pStyle w:val="ColorfulList-Accent11"/>
              <w:numPr>
                <w:ilvl w:val="1"/>
                <w:numId w:val="11"/>
              </w:numPr>
              <w:rPr>
                <w:color w:val="000000"/>
                <w:sz w:val="22"/>
                <w:szCs w:val="22"/>
              </w:rPr>
            </w:pPr>
            <w:r>
              <w:rPr>
                <w:color w:val="000000"/>
                <w:sz w:val="22"/>
                <w:szCs w:val="22"/>
              </w:rPr>
              <w:t xml:space="preserve">Orin Kerr, </w:t>
            </w:r>
            <w:hyperlink r:id="rId16" w:history="1">
              <w:r w:rsidRPr="005A078F">
                <w:rPr>
                  <w:rStyle w:val="Hyperlink"/>
                  <w:sz w:val="22"/>
                  <w:szCs w:val="22"/>
                </w:rPr>
                <w:t>How to Read a Legal Opinion</w:t>
              </w:r>
            </w:hyperlink>
            <w:r>
              <w:rPr>
                <w:color w:val="000000"/>
                <w:sz w:val="22"/>
                <w:szCs w:val="22"/>
              </w:rPr>
              <w:t xml:space="preserve"> (2007).</w:t>
            </w:r>
          </w:p>
          <w:p w:rsidR="00D355AA" w:rsidRDefault="00D355AA" w:rsidP="00D355AA">
            <w:pPr>
              <w:pStyle w:val="ColorfulList-Accent11"/>
              <w:numPr>
                <w:ilvl w:val="0"/>
                <w:numId w:val="11"/>
              </w:numPr>
              <w:rPr>
                <w:color w:val="000000"/>
                <w:sz w:val="22"/>
                <w:szCs w:val="22"/>
              </w:rPr>
            </w:pPr>
            <w:r>
              <w:rPr>
                <w:color w:val="000000"/>
                <w:sz w:val="22"/>
                <w:szCs w:val="22"/>
              </w:rPr>
              <w:t>Why read the law:</w:t>
            </w:r>
          </w:p>
          <w:p w:rsidR="00D355AA" w:rsidRDefault="005A078F" w:rsidP="00D355AA">
            <w:pPr>
              <w:pStyle w:val="ColorfulList-Accent11"/>
              <w:numPr>
                <w:ilvl w:val="1"/>
                <w:numId w:val="11"/>
              </w:numPr>
              <w:rPr>
                <w:color w:val="000000"/>
                <w:sz w:val="22"/>
                <w:szCs w:val="22"/>
              </w:rPr>
            </w:pPr>
            <w:r>
              <w:rPr>
                <w:color w:val="000000"/>
                <w:sz w:val="22"/>
                <w:szCs w:val="22"/>
              </w:rPr>
              <w:t>Retro Report, “</w:t>
            </w:r>
            <w:hyperlink r:id="rId17" w:history="1">
              <w:r w:rsidRPr="005A078F">
                <w:rPr>
                  <w:rStyle w:val="Hyperlink"/>
                  <w:sz w:val="22"/>
                  <w:szCs w:val="22"/>
                </w:rPr>
                <w:t>Scalded by Coffee, Then News Media</w:t>
              </w:r>
            </w:hyperlink>
            <w:r>
              <w:rPr>
                <w:color w:val="000000"/>
                <w:sz w:val="22"/>
                <w:szCs w:val="22"/>
              </w:rPr>
              <w:t xml:space="preserve">,” </w:t>
            </w:r>
            <w:proofErr w:type="spellStart"/>
            <w:r>
              <w:rPr>
                <w:color w:val="000000"/>
                <w:sz w:val="22"/>
                <w:szCs w:val="22"/>
              </w:rPr>
              <w:t>NYTimes</w:t>
            </w:r>
            <w:proofErr w:type="spellEnd"/>
            <w:r>
              <w:rPr>
                <w:color w:val="000000"/>
                <w:sz w:val="22"/>
                <w:szCs w:val="22"/>
              </w:rPr>
              <w:t xml:space="preserve"> (Oct 21, 2013).</w:t>
            </w:r>
          </w:p>
          <w:p w:rsidR="005A078F" w:rsidRPr="00D355AA" w:rsidRDefault="005A078F" w:rsidP="005A078F">
            <w:pPr>
              <w:pStyle w:val="ColorfulList-Accent11"/>
              <w:numPr>
                <w:ilvl w:val="1"/>
                <w:numId w:val="11"/>
              </w:numPr>
              <w:rPr>
                <w:color w:val="000000"/>
                <w:sz w:val="22"/>
                <w:szCs w:val="22"/>
              </w:rPr>
            </w:pPr>
            <w:proofErr w:type="spellStart"/>
            <w:r w:rsidRPr="005A078F">
              <w:rPr>
                <w:color w:val="000000"/>
                <w:sz w:val="22"/>
                <w:szCs w:val="22"/>
              </w:rPr>
              <w:t>Liebeck</w:t>
            </w:r>
            <w:proofErr w:type="spellEnd"/>
            <w:r w:rsidRPr="005A078F">
              <w:rPr>
                <w:color w:val="000000"/>
                <w:sz w:val="22"/>
                <w:szCs w:val="22"/>
              </w:rPr>
              <w:t xml:space="preserve"> v. McDonald’s Restaurants, P.T.S., Inc., No</w:t>
            </w:r>
            <w:r>
              <w:rPr>
                <w:color w:val="000000"/>
                <w:sz w:val="22"/>
                <w:szCs w:val="22"/>
              </w:rPr>
              <w:t>. CV-93-02419</w:t>
            </w:r>
          </w:p>
          <w:p w:rsidR="00D355AA" w:rsidRPr="00FF79B9" w:rsidRDefault="00267B12" w:rsidP="00FF79B9">
            <w:pPr>
              <w:pStyle w:val="ColorfulList-Accent11"/>
              <w:numPr>
                <w:ilvl w:val="0"/>
                <w:numId w:val="11"/>
              </w:numPr>
              <w:rPr>
                <w:color w:val="000000"/>
                <w:sz w:val="22"/>
                <w:szCs w:val="22"/>
              </w:rPr>
            </w:pPr>
            <w:r w:rsidRPr="001F4A9D">
              <w:rPr>
                <w:color w:val="000000"/>
                <w:sz w:val="22"/>
                <w:szCs w:val="22"/>
              </w:rPr>
              <w:t>Issue spotting</w:t>
            </w:r>
          </w:p>
        </w:tc>
      </w:tr>
      <w:tr w:rsidR="003D3E58" w:rsidRPr="001F4A9D" w:rsidTr="001F4A9D">
        <w:trPr>
          <w:trHeight w:val="20"/>
        </w:trPr>
        <w:tc>
          <w:tcPr>
            <w:tcW w:w="982" w:type="dxa"/>
            <w:shd w:val="clear" w:color="auto" w:fill="auto"/>
            <w:hideMark/>
          </w:tcPr>
          <w:p w:rsidR="003D3E58" w:rsidRDefault="005B32B1" w:rsidP="00DD3536">
            <w:pPr>
              <w:rPr>
                <w:color w:val="000000"/>
                <w:sz w:val="22"/>
                <w:szCs w:val="22"/>
              </w:rPr>
            </w:pPr>
            <w:r>
              <w:rPr>
                <w:color w:val="000000"/>
                <w:sz w:val="22"/>
                <w:szCs w:val="22"/>
              </w:rPr>
              <w:t>2</w:t>
            </w:r>
          </w:p>
          <w:p w:rsidR="00FF79B9" w:rsidRPr="001F4A9D" w:rsidRDefault="00D10F56" w:rsidP="00DD3536">
            <w:pPr>
              <w:rPr>
                <w:color w:val="000000"/>
                <w:sz w:val="22"/>
                <w:szCs w:val="22"/>
              </w:rPr>
            </w:pPr>
            <w:r>
              <w:rPr>
                <w:color w:val="000000"/>
                <w:sz w:val="22"/>
                <w:szCs w:val="22"/>
              </w:rPr>
              <w:t>1</w:t>
            </w:r>
            <w:r w:rsidR="00FF79B9">
              <w:rPr>
                <w:color w:val="000000"/>
                <w:sz w:val="22"/>
                <w:szCs w:val="22"/>
              </w:rPr>
              <w:t>/</w:t>
            </w:r>
            <w:r>
              <w:rPr>
                <w:color w:val="000000"/>
                <w:sz w:val="22"/>
                <w:szCs w:val="22"/>
              </w:rPr>
              <w:t>27</w:t>
            </w:r>
          </w:p>
        </w:tc>
        <w:tc>
          <w:tcPr>
            <w:tcW w:w="1800" w:type="dxa"/>
            <w:shd w:val="clear" w:color="auto" w:fill="auto"/>
            <w:hideMark/>
          </w:tcPr>
          <w:p w:rsidR="003D3E58" w:rsidRPr="001F4A9D" w:rsidRDefault="00267B12" w:rsidP="00DD3536">
            <w:pPr>
              <w:rPr>
                <w:color w:val="000000"/>
                <w:sz w:val="22"/>
                <w:szCs w:val="22"/>
              </w:rPr>
            </w:pPr>
            <w:r w:rsidRPr="001F4A9D">
              <w:rPr>
                <w:color w:val="000000"/>
                <w:sz w:val="22"/>
                <w:szCs w:val="22"/>
              </w:rPr>
              <w:t>Computers &amp; the Internet</w:t>
            </w:r>
          </w:p>
        </w:tc>
        <w:tc>
          <w:tcPr>
            <w:tcW w:w="6031" w:type="dxa"/>
            <w:shd w:val="clear" w:color="auto" w:fill="auto"/>
            <w:hideMark/>
          </w:tcPr>
          <w:p w:rsidR="00015C4A" w:rsidRDefault="00AB31C0" w:rsidP="00C369CD">
            <w:pPr>
              <w:spacing w:before="100" w:beforeAutospacing="1" w:after="100" w:afterAutospacing="1"/>
              <w:contextualSpacing/>
              <w:textAlignment w:val="baseline"/>
              <w:rPr>
                <w:color w:val="000000"/>
                <w:sz w:val="22"/>
                <w:szCs w:val="22"/>
              </w:rPr>
            </w:pPr>
            <w:r>
              <w:rPr>
                <w:color w:val="000000"/>
                <w:sz w:val="22"/>
                <w:szCs w:val="22"/>
              </w:rPr>
              <w:t>Pages 9-60</w:t>
            </w:r>
          </w:p>
          <w:p w:rsidR="00015C4A" w:rsidRPr="001F4A9D" w:rsidRDefault="00C369CD" w:rsidP="00C369CD">
            <w:pPr>
              <w:spacing w:before="100" w:beforeAutospacing="1" w:after="100" w:afterAutospacing="1"/>
              <w:contextualSpacing/>
              <w:textAlignment w:val="baseline"/>
              <w:rPr>
                <w:color w:val="000000"/>
                <w:sz w:val="22"/>
                <w:szCs w:val="22"/>
              </w:rPr>
            </w:pPr>
            <w:r>
              <w:rPr>
                <w:color w:val="000000"/>
                <w:sz w:val="22"/>
                <w:szCs w:val="22"/>
              </w:rPr>
              <w:t xml:space="preserve">Steven J. Murdoch and Ross Anderson, </w:t>
            </w:r>
            <w:hyperlink r:id="rId18" w:history="1">
              <w:r w:rsidRPr="00015C4A">
                <w:rPr>
                  <w:rStyle w:val="Hyperlink"/>
                  <w:i/>
                  <w:sz w:val="22"/>
                  <w:szCs w:val="22"/>
                </w:rPr>
                <w:t>Tools and Technology of Internet Filtering</w:t>
              </w:r>
            </w:hyperlink>
            <w:r>
              <w:rPr>
                <w:color w:val="000000"/>
                <w:sz w:val="22"/>
                <w:szCs w:val="22"/>
              </w:rPr>
              <w:t xml:space="preserve"> in Access Denied: The Practice and Policy of Global Internet Filtering (2008).</w:t>
            </w:r>
          </w:p>
        </w:tc>
      </w:tr>
      <w:tr w:rsidR="003D3E58" w:rsidRPr="001F4A9D" w:rsidTr="001F4A9D">
        <w:trPr>
          <w:trHeight w:val="20"/>
        </w:trPr>
        <w:tc>
          <w:tcPr>
            <w:tcW w:w="982" w:type="dxa"/>
            <w:shd w:val="clear" w:color="auto" w:fill="auto"/>
            <w:hideMark/>
          </w:tcPr>
          <w:p w:rsidR="003D3E58" w:rsidRDefault="005B32B1" w:rsidP="00DD3536">
            <w:pPr>
              <w:rPr>
                <w:color w:val="000000"/>
                <w:sz w:val="22"/>
                <w:szCs w:val="22"/>
              </w:rPr>
            </w:pPr>
            <w:r>
              <w:rPr>
                <w:color w:val="000000"/>
                <w:sz w:val="22"/>
                <w:szCs w:val="22"/>
              </w:rPr>
              <w:t>3</w:t>
            </w:r>
          </w:p>
          <w:p w:rsidR="00D10F56" w:rsidRPr="001F4A9D" w:rsidRDefault="00D10F56" w:rsidP="00DD3536">
            <w:pPr>
              <w:rPr>
                <w:color w:val="000000"/>
                <w:sz w:val="22"/>
                <w:szCs w:val="22"/>
              </w:rPr>
            </w:pPr>
            <w:r>
              <w:rPr>
                <w:color w:val="000000"/>
                <w:sz w:val="22"/>
                <w:szCs w:val="22"/>
              </w:rPr>
              <w:t>2/3</w:t>
            </w:r>
          </w:p>
        </w:tc>
        <w:tc>
          <w:tcPr>
            <w:tcW w:w="1800" w:type="dxa"/>
            <w:shd w:val="clear" w:color="auto" w:fill="auto"/>
            <w:hideMark/>
          </w:tcPr>
          <w:p w:rsidR="003D3E58" w:rsidRPr="001F4A9D" w:rsidRDefault="00267B12" w:rsidP="00165117">
            <w:pPr>
              <w:rPr>
                <w:color w:val="000000"/>
                <w:sz w:val="22"/>
                <w:szCs w:val="22"/>
              </w:rPr>
            </w:pPr>
            <w:r w:rsidRPr="001F4A9D">
              <w:rPr>
                <w:color w:val="000000"/>
                <w:sz w:val="22"/>
                <w:szCs w:val="22"/>
              </w:rPr>
              <w:t>Jurisdiction</w:t>
            </w:r>
          </w:p>
        </w:tc>
        <w:tc>
          <w:tcPr>
            <w:tcW w:w="6031" w:type="dxa"/>
            <w:shd w:val="clear" w:color="auto" w:fill="auto"/>
            <w:hideMark/>
          </w:tcPr>
          <w:p w:rsidR="00165117" w:rsidRDefault="00AB31C0" w:rsidP="00787881">
            <w:pPr>
              <w:spacing w:before="100" w:beforeAutospacing="1" w:after="100" w:afterAutospacing="1"/>
              <w:contextualSpacing/>
              <w:textAlignment w:val="baseline"/>
              <w:rPr>
                <w:color w:val="000000"/>
                <w:sz w:val="22"/>
                <w:szCs w:val="22"/>
              </w:rPr>
            </w:pPr>
            <w:r>
              <w:rPr>
                <w:color w:val="000000"/>
                <w:sz w:val="22"/>
                <w:szCs w:val="22"/>
              </w:rPr>
              <w:t>Pages 61</w:t>
            </w:r>
            <w:r w:rsidR="00787881" w:rsidRPr="001F4A9D">
              <w:rPr>
                <w:color w:val="000000"/>
                <w:sz w:val="22"/>
                <w:szCs w:val="22"/>
              </w:rPr>
              <w:t>-121</w:t>
            </w:r>
          </w:p>
          <w:p w:rsidR="00AD16EA" w:rsidRPr="00015C4A" w:rsidRDefault="00015C4A" w:rsidP="00787881">
            <w:pPr>
              <w:spacing w:before="100" w:beforeAutospacing="1" w:after="100" w:afterAutospacing="1"/>
              <w:textAlignment w:val="baseline"/>
              <w:rPr>
                <w:color w:val="000000"/>
                <w:sz w:val="22"/>
                <w:szCs w:val="22"/>
              </w:rPr>
            </w:pPr>
            <w:r>
              <w:rPr>
                <w:color w:val="000000"/>
                <w:sz w:val="22"/>
                <w:szCs w:val="22"/>
              </w:rPr>
              <w:t xml:space="preserve">Christopher </w:t>
            </w:r>
            <w:proofErr w:type="spellStart"/>
            <w:r>
              <w:rPr>
                <w:color w:val="000000"/>
                <w:sz w:val="22"/>
                <w:szCs w:val="22"/>
              </w:rPr>
              <w:t>Kuner</w:t>
            </w:r>
            <w:proofErr w:type="spellEnd"/>
            <w:r>
              <w:rPr>
                <w:color w:val="000000"/>
                <w:sz w:val="22"/>
                <w:szCs w:val="22"/>
              </w:rPr>
              <w:t xml:space="preserve">, </w:t>
            </w:r>
            <w:r>
              <w:rPr>
                <w:i/>
                <w:color w:val="000000"/>
                <w:sz w:val="22"/>
                <w:szCs w:val="22"/>
              </w:rPr>
              <w:t>Data Protection Law and International Jurisdiction on the Internet (</w:t>
            </w:r>
            <w:hyperlink r:id="rId19" w:history="1">
              <w:r w:rsidRPr="00015C4A">
                <w:rPr>
                  <w:rStyle w:val="Hyperlink"/>
                  <w:i/>
                  <w:sz w:val="22"/>
                  <w:szCs w:val="22"/>
                </w:rPr>
                <w:t>Part 1</w:t>
              </w:r>
            </w:hyperlink>
            <w:r>
              <w:rPr>
                <w:i/>
                <w:color w:val="000000"/>
                <w:sz w:val="22"/>
                <w:szCs w:val="22"/>
              </w:rPr>
              <w:t xml:space="preserve"> and </w:t>
            </w:r>
            <w:hyperlink r:id="rId20" w:history="1">
              <w:r w:rsidRPr="00015C4A">
                <w:rPr>
                  <w:rStyle w:val="Hyperlink"/>
                  <w:i/>
                  <w:sz w:val="22"/>
                  <w:szCs w:val="22"/>
                </w:rPr>
                <w:t>Part 2</w:t>
              </w:r>
            </w:hyperlink>
            <w:r>
              <w:rPr>
                <w:i/>
                <w:color w:val="000000"/>
                <w:sz w:val="22"/>
                <w:szCs w:val="22"/>
              </w:rPr>
              <w:t>)</w:t>
            </w:r>
            <w:r>
              <w:rPr>
                <w:color w:val="000000"/>
                <w:sz w:val="22"/>
                <w:szCs w:val="22"/>
              </w:rPr>
              <w:t>, International Journal of Law and Information Technology (2010).</w:t>
            </w:r>
          </w:p>
        </w:tc>
      </w:tr>
      <w:tr w:rsidR="003D3E58" w:rsidRPr="001F4A9D" w:rsidTr="001F4A9D">
        <w:trPr>
          <w:trHeight w:val="20"/>
        </w:trPr>
        <w:tc>
          <w:tcPr>
            <w:tcW w:w="982" w:type="dxa"/>
            <w:shd w:val="clear" w:color="auto" w:fill="auto"/>
            <w:hideMark/>
          </w:tcPr>
          <w:p w:rsidR="003D3E58" w:rsidRDefault="005B32B1" w:rsidP="00DD3536">
            <w:pPr>
              <w:rPr>
                <w:color w:val="000000"/>
                <w:sz w:val="22"/>
                <w:szCs w:val="22"/>
              </w:rPr>
            </w:pPr>
            <w:r>
              <w:rPr>
                <w:color w:val="000000"/>
                <w:sz w:val="22"/>
                <w:szCs w:val="22"/>
              </w:rPr>
              <w:t>4</w:t>
            </w:r>
          </w:p>
          <w:p w:rsidR="00D10F56" w:rsidRPr="001F4A9D" w:rsidRDefault="00D10F56" w:rsidP="00DD3536">
            <w:pPr>
              <w:rPr>
                <w:color w:val="000000"/>
                <w:sz w:val="22"/>
                <w:szCs w:val="22"/>
              </w:rPr>
            </w:pPr>
            <w:r>
              <w:rPr>
                <w:color w:val="000000"/>
                <w:sz w:val="22"/>
                <w:szCs w:val="22"/>
              </w:rPr>
              <w:t>2/10</w:t>
            </w:r>
          </w:p>
        </w:tc>
        <w:tc>
          <w:tcPr>
            <w:tcW w:w="1800" w:type="dxa"/>
            <w:shd w:val="clear" w:color="auto" w:fill="auto"/>
            <w:hideMark/>
          </w:tcPr>
          <w:p w:rsidR="003D3E58" w:rsidRPr="001F4A9D" w:rsidRDefault="00787881" w:rsidP="00451122">
            <w:pPr>
              <w:rPr>
                <w:color w:val="000000"/>
                <w:sz w:val="22"/>
                <w:szCs w:val="22"/>
              </w:rPr>
            </w:pPr>
            <w:r w:rsidRPr="001F4A9D">
              <w:rPr>
                <w:color w:val="000000"/>
                <w:sz w:val="22"/>
                <w:szCs w:val="22"/>
              </w:rPr>
              <w:t>Speech</w:t>
            </w:r>
          </w:p>
        </w:tc>
        <w:tc>
          <w:tcPr>
            <w:tcW w:w="6031" w:type="dxa"/>
            <w:shd w:val="clear" w:color="auto" w:fill="auto"/>
            <w:hideMark/>
          </w:tcPr>
          <w:p w:rsidR="00FC7B53" w:rsidRDefault="00787881" w:rsidP="00787881">
            <w:pPr>
              <w:spacing w:before="100" w:beforeAutospacing="1" w:after="100" w:afterAutospacing="1"/>
              <w:contextualSpacing/>
              <w:textAlignment w:val="baseline"/>
              <w:rPr>
                <w:sz w:val="22"/>
                <w:szCs w:val="22"/>
              </w:rPr>
            </w:pPr>
            <w:r w:rsidRPr="001F4A9D">
              <w:rPr>
                <w:sz w:val="22"/>
                <w:szCs w:val="22"/>
              </w:rPr>
              <w:t>Pages 122-204</w:t>
            </w:r>
          </w:p>
          <w:p w:rsidR="00AD16EA" w:rsidRPr="000B6FD5" w:rsidRDefault="000B6FD5" w:rsidP="00787881">
            <w:pPr>
              <w:spacing w:before="100" w:beforeAutospacing="1" w:after="100" w:afterAutospacing="1"/>
              <w:textAlignment w:val="baseline"/>
              <w:rPr>
                <w:color w:val="000000"/>
                <w:sz w:val="22"/>
                <w:szCs w:val="22"/>
              </w:rPr>
            </w:pPr>
            <w:r>
              <w:rPr>
                <w:color w:val="000000"/>
                <w:sz w:val="22"/>
                <w:szCs w:val="22"/>
              </w:rPr>
              <w:t xml:space="preserve">Adrienne Stone, </w:t>
            </w:r>
            <w:r>
              <w:rPr>
                <w:i/>
                <w:color w:val="000000"/>
                <w:sz w:val="22"/>
                <w:szCs w:val="22"/>
              </w:rPr>
              <w:t>The Comparative Constitutional Law of Freedom of Expression</w:t>
            </w:r>
            <w:r>
              <w:rPr>
                <w:color w:val="000000"/>
                <w:sz w:val="22"/>
                <w:szCs w:val="22"/>
              </w:rPr>
              <w:t xml:space="preserve"> in Research Handbook of Comparative Constitutional Law 406 (2013).</w:t>
            </w:r>
          </w:p>
        </w:tc>
      </w:tr>
      <w:tr w:rsidR="003D3E58" w:rsidRPr="001F4A9D" w:rsidTr="001F4A9D">
        <w:trPr>
          <w:trHeight w:val="377"/>
        </w:trPr>
        <w:tc>
          <w:tcPr>
            <w:tcW w:w="982" w:type="dxa"/>
            <w:shd w:val="clear" w:color="auto" w:fill="auto"/>
            <w:hideMark/>
          </w:tcPr>
          <w:p w:rsidR="003D3E58" w:rsidRDefault="005B32B1" w:rsidP="00DD3536">
            <w:pPr>
              <w:rPr>
                <w:color w:val="000000"/>
                <w:sz w:val="22"/>
                <w:szCs w:val="22"/>
              </w:rPr>
            </w:pPr>
            <w:r>
              <w:rPr>
                <w:color w:val="000000"/>
                <w:sz w:val="22"/>
                <w:szCs w:val="22"/>
              </w:rPr>
              <w:t>5</w:t>
            </w:r>
          </w:p>
          <w:p w:rsidR="00D10F56" w:rsidRPr="001F4A9D" w:rsidRDefault="00D10F56" w:rsidP="00DD3536">
            <w:pPr>
              <w:rPr>
                <w:color w:val="000000"/>
                <w:sz w:val="22"/>
                <w:szCs w:val="22"/>
              </w:rPr>
            </w:pPr>
            <w:r>
              <w:rPr>
                <w:color w:val="000000"/>
                <w:sz w:val="22"/>
                <w:szCs w:val="22"/>
              </w:rPr>
              <w:t>2/1</w:t>
            </w:r>
            <w:r w:rsidR="003A1ED8">
              <w:rPr>
                <w:color w:val="000000"/>
                <w:sz w:val="22"/>
                <w:szCs w:val="22"/>
              </w:rPr>
              <w:t>7</w:t>
            </w:r>
          </w:p>
        </w:tc>
        <w:tc>
          <w:tcPr>
            <w:tcW w:w="1800" w:type="dxa"/>
            <w:shd w:val="clear" w:color="auto" w:fill="auto"/>
            <w:hideMark/>
          </w:tcPr>
          <w:p w:rsidR="003D3E58" w:rsidRPr="001F4A9D" w:rsidRDefault="00787881" w:rsidP="00DD3536">
            <w:pPr>
              <w:rPr>
                <w:color w:val="000000"/>
                <w:sz w:val="22"/>
                <w:szCs w:val="22"/>
              </w:rPr>
            </w:pPr>
            <w:r w:rsidRPr="001F4A9D">
              <w:rPr>
                <w:color w:val="000000"/>
                <w:sz w:val="22"/>
                <w:szCs w:val="22"/>
              </w:rPr>
              <w:t>Privacy</w:t>
            </w:r>
            <w:r w:rsidR="00CC69B2">
              <w:rPr>
                <w:color w:val="000000"/>
                <w:sz w:val="22"/>
                <w:szCs w:val="22"/>
              </w:rPr>
              <w:t xml:space="preserve"> from the Government</w:t>
            </w:r>
          </w:p>
        </w:tc>
        <w:tc>
          <w:tcPr>
            <w:tcW w:w="6031" w:type="dxa"/>
            <w:shd w:val="clear" w:color="auto" w:fill="auto"/>
            <w:hideMark/>
          </w:tcPr>
          <w:p w:rsidR="00165117" w:rsidRDefault="00A36662" w:rsidP="00C369CD">
            <w:pPr>
              <w:spacing w:before="100" w:beforeAutospacing="1" w:after="100" w:afterAutospacing="1"/>
              <w:contextualSpacing/>
              <w:textAlignment w:val="baseline"/>
              <w:rPr>
                <w:color w:val="000000"/>
                <w:sz w:val="22"/>
                <w:szCs w:val="22"/>
              </w:rPr>
            </w:pPr>
            <w:r>
              <w:rPr>
                <w:color w:val="000000"/>
                <w:sz w:val="22"/>
                <w:szCs w:val="22"/>
              </w:rPr>
              <w:t>Pages 205-278</w:t>
            </w:r>
          </w:p>
          <w:p w:rsidR="00015C4A" w:rsidRPr="00015C4A" w:rsidRDefault="00015C4A" w:rsidP="00C369CD">
            <w:pPr>
              <w:spacing w:before="100" w:beforeAutospacing="1" w:after="100" w:afterAutospacing="1"/>
              <w:contextualSpacing/>
              <w:textAlignment w:val="baseline"/>
              <w:rPr>
                <w:color w:val="000000"/>
                <w:sz w:val="22"/>
                <w:szCs w:val="22"/>
              </w:rPr>
            </w:pPr>
            <w:r>
              <w:rPr>
                <w:color w:val="000000"/>
                <w:sz w:val="22"/>
                <w:szCs w:val="22"/>
              </w:rPr>
              <w:t xml:space="preserve">Ira Rubinstein, Gregory </w:t>
            </w:r>
            <w:proofErr w:type="spellStart"/>
            <w:r>
              <w:rPr>
                <w:color w:val="000000"/>
                <w:sz w:val="22"/>
                <w:szCs w:val="22"/>
              </w:rPr>
              <w:t>Nojeim</w:t>
            </w:r>
            <w:proofErr w:type="spellEnd"/>
            <w:r>
              <w:rPr>
                <w:color w:val="000000"/>
                <w:sz w:val="22"/>
                <w:szCs w:val="22"/>
              </w:rPr>
              <w:t xml:space="preserve">, and Ronald Lee, </w:t>
            </w:r>
            <w:hyperlink r:id="rId21" w:history="1">
              <w:r w:rsidRPr="00C369CD">
                <w:rPr>
                  <w:rStyle w:val="Hyperlink"/>
                  <w:i/>
                  <w:sz w:val="22"/>
                  <w:szCs w:val="22"/>
                </w:rPr>
                <w:t>Systematic Government Access to Personal Data: A Comparative Analysis</w:t>
              </w:r>
            </w:hyperlink>
            <w:r w:rsidR="00C369CD">
              <w:rPr>
                <w:color w:val="000000"/>
                <w:sz w:val="22"/>
                <w:szCs w:val="22"/>
              </w:rPr>
              <w:t xml:space="preserve"> 4:2 International Data Privacy Law 96 (2014).</w:t>
            </w:r>
          </w:p>
        </w:tc>
      </w:tr>
      <w:tr w:rsidR="00165117" w:rsidRPr="001F4A9D" w:rsidTr="001F4A9D">
        <w:trPr>
          <w:trHeight w:val="20"/>
        </w:trPr>
        <w:tc>
          <w:tcPr>
            <w:tcW w:w="982" w:type="dxa"/>
            <w:shd w:val="clear" w:color="auto" w:fill="auto"/>
          </w:tcPr>
          <w:p w:rsidR="00165117" w:rsidRDefault="005B32B1" w:rsidP="00DD3536">
            <w:pPr>
              <w:rPr>
                <w:color w:val="000000"/>
                <w:sz w:val="22"/>
                <w:szCs w:val="22"/>
              </w:rPr>
            </w:pPr>
            <w:r>
              <w:rPr>
                <w:color w:val="000000"/>
                <w:sz w:val="22"/>
                <w:szCs w:val="22"/>
              </w:rPr>
              <w:t>6</w:t>
            </w:r>
          </w:p>
          <w:p w:rsidR="00D10F56" w:rsidRPr="001F4A9D" w:rsidRDefault="003A1ED8" w:rsidP="00DD3536">
            <w:pPr>
              <w:rPr>
                <w:color w:val="000000"/>
                <w:sz w:val="22"/>
                <w:szCs w:val="22"/>
              </w:rPr>
            </w:pPr>
            <w:r>
              <w:rPr>
                <w:color w:val="000000"/>
                <w:sz w:val="22"/>
                <w:szCs w:val="22"/>
              </w:rPr>
              <w:t>2/24</w:t>
            </w:r>
          </w:p>
        </w:tc>
        <w:tc>
          <w:tcPr>
            <w:tcW w:w="1800" w:type="dxa"/>
            <w:shd w:val="clear" w:color="auto" w:fill="auto"/>
          </w:tcPr>
          <w:p w:rsidR="00165117" w:rsidRPr="001F4A9D" w:rsidRDefault="00CC69B2" w:rsidP="00DD3536">
            <w:pPr>
              <w:rPr>
                <w:color w:val="000000"/>
                <w:sz w:val="22"/>
                <w:szCs w:val="22"/>
              </w:rPr>
            </w:pPr>
            <w:r>
              <w:rPr>
                <w:color w:val="000000"/>
                <w:sz w:val="22"/>
                <w:szCs w:val="22"/>
              </w:rPr>
              <w:t>Privacy from everyone else</w:t>
            </w:r>
          </w:p>
        </w:tc>
        <w:tc>
          <w:tcPr>
            <w:tcW w:w="6031" w:type="dxa"/>
            <w:shd w:val="clear" w:color="auto" w:fill="auto"/>
          </w:tcPr>
          <w:p w:rsidR="00AE10A3" w:rsidRDefault="00CC69B2" w:rsidP="00C369CD">
            <w:pPr>
              <w:shd w:val="clear" w:color="auto" w:fill="FFFFFF"/>
              <w:spacing w:after="240"/>
              <w:contextualSpacing/>
              <w:rPr>
                <w:color w:val="222222"/>
                <w:sz w:val="22"/>
                <w:szCs w:val="22"/>
              </w:rPr>
            </w:pPr>
            <w:r>
              <w:rPr>
                <w:color w:val="222222"/>
                <w:sz w:val="22"/>
                <w:szCs w:val="22"/>
              </w:rPr>
              <w:t xml:space="preserve">Pages </w:t>
            </w:r>
            <w:r w:rsidR="00A36662">
              <w:rPr>
                <w:color w:val="222222"/>
                <w:sz w:val="22"/>
                <w:szCs w:val="22"/>
              </w:rPr>
              <w:t>279-325</w:t>
            </w:r>
            <w:r w:rsidR="005B32B1">
              <w:rPr>
                <w:color w:val="222222"/>
                <w:sz w:val="22"/>
                <w:szCs w:val="22"/>
              </w:rPr>
              <w:t xml:space="preserve"> </w:t>
            </w:r>
          </w:p>
          <w:p w:rsidR="000B29D2" w:rsidRDefault="005B32B1" w:rsidP="00C369CD">
            <w:pPr>
              <w:shd w:val="clear" w:color="auto" w:fill="FFFFFF"/>
              <w:spacing w:after="240"/>
              <w:contextualSpacing/>
              <w:rPr>
                <w:color w:val="222222"/>
                <w:sz w:val="22"/>
                <w:szCs w:val="22"/>
              </w:rPr>
            </w:pPr>
            <w:r>
              <w:rPr>
                <w:color w:val="222222"/>
                <w:sz w:val="22"/>
                <w:szCs w:val="22"/>
              </w:rPr>
              <w:t>midterm out</w:t>
            </w:r>
          </w:p>
          <w:p w:rsidR="00C369CD" w:rsidRPr="00CC69B2" w:rsidRDefault="00C369CD" w:rsidP="00C369CD">
            <w:pPr>
              <w:shd w:val="clear" w:color="auto" w:fill="FFFFFF"/>
              <w:spacing w:after="240"/>
              <w:contextualSpacing/>
              <w:rPr>
                <w:color w:val="222222"/>
                <w:sz w:val="22"/>
                <w:szCs w:val="22"/>
              </w:rPr>
            </w:pPr>
            <w:r>
              <w:rPr>
                <w:color w:val="222222"/>
                <w:sz w:val="22"/>
                <w:szCs w:val="22"/>
              </w:rPr>
              <w:t>“</w:t>
            </w:r>
            <w:hyperlink r:id="rId22" w:history="1">
              <w:r w:rsidRPr="00C369CD">
                <w:rPr>
                  <w:rStyle w:val="Hyperlink"/>
                  <w:sz w:val="22"/>
                  <w:szCs w:val="22"/>
                </w:rPr>
                <w:t>Should the U.S. Adopt European-Style Data Privacy Protections?</w:t>
              </w:r>
            </w:hyperlink>
            <w:r>
              <w:rPr>
                <w:color w:val="222222"/>
                <w:sz w:val="22"/>
                <w:szCs w:val="22"/>
              </w:rPr>
              <w:t>” WSJ (Mar. 10, 2013).</w:t>
            </w:r>
          </w:p>
        </w:tc>
      </w:tr>
      <w:tr w:rsidR="00165117" w:rsidRPr="001F4A9D" w:rsidTr="001F4A9D">
        <w:trPr>
          <w:trHeight w:val="20"/>
        </w:trPr>
        <w:tc>
          <w:tcPr>
            <w:tcW w:w="982" w:type="dxa"/>
            <w:shd w:val="clear" w:color="auto" w:fill="auto"/>
          </w:tcPr>
          <w:p w:rsidR="00165117" w:rsidRDefault="00D10F56" w:rsidP="00DD3536">
            <w:pPr>
              <w:rPr>
                <w:color w:val="000000"/>
                <w:sz w:val="22"/>
                <w:szCs w:val="22"/>
              </w:rPr>
            </w:pPr>
            <w:r>
              <w:rPr>
                <w:color w:val="000000"/>
                <w:sz w:val="22"/>
                <w:szCs w:val="22"/>
              </w:rPr>
              <w:t>7</w:t>
            </w:r>
          </w:p>
          <w:p w:rsidR="00D10F56" w:rsidRPr="001F4A9D" w:rsidRDefault="003A1ED8" w:rsidP="00DD3536">
            <w:pPr>
              <w:rPr>
                <w:color w:val="000000"/>
                <w:sz w:val="22"/>
                <w:szCs w:val="22"/>
              </w:rPr>
            </w:pPr>
            <w:r>
              <w:rPr>
                <w:color w:val="000000"/>
                <w:sz w:val="22"/>
                <w:szCs w:val="22"/>
              </w:rPr>
              <w:t>3</w:t>
            </w:r>
            <w:r w:rsidR="00D10F56">
              <w:rPr>
                <w:color w:val="000000"/>
                <w:sz w:val="22"/>
                <w:szCs w:val="22"/>
              </w:rPr>
              <w:t>/</w:t>
            </w:r>
            <w:r>
              <w:rPr>
                <w:color w:val="000000"/>
                <w:sz w:val="22"/>
                <w:szCs w:val="22"/>
              </w:rPr>
              <w:t>2</w:t>
            </w:r>
          </w:p>
        </w:tc>
        <w:tc>
          <w:tcPr>
            <w:tcW w:w="1800" w:type="dxa"/>
            <w:shd w:val="clear" w:color="auto" w:fill="auto"/>
          </w:tcPr>
          <w:p w:rsidR="00165117" w:rsidRPr="001F4A9D" w:rsidRDefault="00AD16EA" w:rsidP="00DD3536">
            <w:pPr>
              <w:rPr>
                <w:color w:val="000000"/>
                <w:sz w:val="22"/>
                <w:szCs w:val="22"/>
              </w:rPr>
            </w:pPr>
            <w:r>
              <w:rPr>
                <w:color w:val="000000"/>
                <w:sz w:val="22"/>
                <w:szCs w:val="22"/>
              </w:rPr>
              <w:t>Midterm</w:t>
            </w:r>
          </w:p>
        </w:tc>
        <w:tc>
          <w:tcPr>
            <w:tcW w:w="6031" w:type="dxa"/>
            <w:shd w:val="clear" w:color="auto" w:fill="auto"/>
          </w:tcPr>
          <w:p w:rsidR="00165117" w:rsidRDefault="00AD16EA" w:rsidP="00AD16EA">
            <w:pPr>
              <w:rPr>
                <w:color w:val="000000"/>
                <w:sz w:val="22"/>
                <w:szCs w:val="22"/>
              </w:rPr>
            </w:pPr>
            <w:r>
              <w:rPr>
                <w:color w:val="000000"/>
                <w:sz w:val="22"/>
                <w:szCs w:val="22"/>
              </w:rPr>
              <w:t>To me via email – due by 11:59PM</w:t>
            </w:r>
          </w:p>
          <w:p w:rsidR="00D10F56" w:rsidRDefault="00D10F56" w:rsidP="00AD16EA">
            <w:pPr>
              <w:rPr>
                <w:color w:val="000000"/>
                <w:sz w:val="22"/>
                <w:szCs w:val="22"/>
              </w:rPr>
            </w:pPr>
            <w:r>
              <w:rPr>
                <w:color w:val="000000"/>
                <w:sz w:val="22"/>
                <w:szCs w:val="22"/>
              </w:rPr>
              <w:t>Feedback on midterm in class; debate prep</w:t>
            </w:r>
          </w:p>
          <w:p w:rsidR="00AD16EA" w:rsidRPr="001F4A9D" w:rsidRDefault="00AD16EA" w:rsidP="00787881">
            <w:pPr>
              <w:pStyle w:val="NormalWeb"/>
              <w:spacing w:before="0" w:beforeAutospacing="0" w:after="0" w:afterAutospacing="0"/>
              <w:rPr>
                <w:color w:val="000000"/>
                <w:sz w:val="22"/>
                <w:szCs w:val="22"/>
              </w:rPr>
            </w:pPr>
          </w:p>
        </w:tc>
      </w:tr>
      <w:tr w:rsidR="00D10F56" w:rsidRPr="001F4A9D" w:rsidTr="001F4A9D">
        <w:trPr>
          <w:trHeight w:val="20"/>
        </w:trPr>
        <w:tc>
          <w:tcPr>
            <w:tcW w:w="982" w:type="dxa"/>
            <w:shd w:val="clear" w:color="auto" w:fill="auto"/>
          </w:tcPr>
          <w:p w:rsidR="00D10F56" w:rsidRDefault="00D10F56" w:rsidP="00DD3536">
            <w:pPr>
              <w:rPr>
                <w:color w:val="000000"/>
                <w:sz w:val="22"/>
                <w:szCs w:val="22"/>
              </w:rPr>
            </w:pPr>
            <w:r>
              <w:rPr>
                <w:color w:val="000000"/>
                <w:sz w:val="22"/>
                <w:szCs w:val="22"/>
              </w:rPr>
              <w:t xml:space="preserve">8 </w:t>
            </w:r>
          </w:p>
          <w:p w:rsidR="00D10F56" w:rsidRDefault="00D10F56" w:rsidP="00DD3536">
            <w:pPr>
              <w:rPr>
                <w:color w:val="000000"/>
                <w:sz w:val="22"/>
                <w:szCs w:val="22"/>
              </w:rPr>
            </w:pPr>
            <w:r>
              <w:rPr>
                <w:color w:val="000000"/>
                <w:sz w:val="22"/>
                <w:szCs w:val="22"/>
              </w:rPr>
              <w:t>TBD</w:t>
            </w:r>
          </w:p>
        </w:tc>
        <w:tc>
          <w:tcPr>
            <w:tcW w:w="1800" w:type="dxa"/>
            <w:shd w:val="clear" w:color="auto" w:fill="auto"/>
          </w:tcPr>
          <w:p w:rsidR="00D10F56" w:rsidRDefault="00D10F56" w:rsidP="00DD3536">
            <w:pPr>
              <w:rPr>
                <w:color w:val="000000"/>
                <w:sz w:val="22"/>
                <w:szCs w:val="22"/>
              </w:rPr>
            </w:pPr>
            <w:r>
              <w:rPr>
                <w:color w:val="000000"/>
                <w:sz w:val="22"/>
                <w:szCs w:val="22"/>
              </w:rPr>
              <w:t>Debate</w:t>
            </w:r>
          </w:p>
        </w:tc>
        <w:tc>
          <w:tcPr>
            <w:tcW w:w="6031" w:type="dxa"/>
            <w:shd w:val="clear" w:color="auto" w:fill="auto"/>
          </w:tcPr>
          <w:p w:rsidR="00D10F56" w:rsidRDefault="00D10F56" w:rsidP="00D10F56">
            <w:pPr>
              <w:pStyle w:val="ColorfulList-Accent11"/>
              <w:ind w:left="0"/>
              <w:rPr>
                <w:color w:val="000000"/>
                <w:sz w:val="22"/>
                <w:szCs w:val="22"/>
              </w:rPr>
            </w:pPr>
            <w:r>
              <w:rPr>
                <w:color w:val="000000"/>
                <w:sz w:val="22"/>
                <w:szCs w:val="22"/>
              </w:rPr>
              <w:t>Topic: TBD</w:t>
            </w:r>
          </w:p>
        </w:tc>
      </w:tr>
      <w:tr w:rsidR="00CC69B2" w:rsidRPr="001F4A9D" w:rsidTr="001F4A9D">
        <w:trPr>
          <w:trHeight w:val="20"/>
        </w:trPr>
        <w:tc>
          <w:tcPr>
            <w:tcW w:w="982" w:type="dxa"/>
            <w:shd w:val="clear" w:color="auto" w:fill="auto"/>
          </w:tcPr>
          <w:p w:rsidR="00CC69B2" w:rsidRDefault="00D10F56" w:rsidP="00DD3536">
            <w:pPr>
              <w:rPr>
                <w:color w:val="000000"/>
                <w:sz w:val="22"/>
                <w:szCs w:val="22"/>
              </w:rPr>
            </w:pPr>
            <w:r>
              <w:rPr>
                <w:color w:val="000000"/>
                <w:sz w:val="22"/>
                <w:szCs w:val="22"/>
              </w:rPr>
              <w:lastRenderedPageBreak/>
              <w:t>9</w:t>
            </w:r>
          </w:p>
          <w:p w:rsidR="00D10F56" w:rsidRPr="001F4A9D" w:rsidRDefault="00D10F56" w:rsidP="00DD3536">
            <w:pPr>
              <w:rPr>
                <w:color w:val="000000"/>
                <w:sz w:val="22"/>
                <w:szCs w:val="22"/>
              </w:rPr>
            </w:pPr>
            <w:r>
              <w:rPr>
                <w:color w:val="000000"/>
                <w:sz w:val="22"/>
                <w:szCs w:val="22"/>
              </w:rPr>
              <w:t>3/</w:t>
            </w:r>
            <w:r w:rsidR="003A1ED8">
              <w:rPr>
                <w:color w:val="000000"/>
                <w:sz w:val="22"/>
                <w:szCs w:val="22"/>
              </w:rPr>
              <w:t>16</w:t>
            </w:r>
          </w:p>
        </w:tc>
        <w:tc>
          <w:tcPr>
            <w:tcW w:w="1800" w:type="dxa"/>
            <w:shd w:val="clear" w:color="auto" w:fill="auto"/>
          </w:tcPr>
          <w:p w:rsidR="00CC69B2" w:rsidRPr="001F4A9D" w:rsidRDefault="00CC69B2" w:rsidP="00DD3536">
            <w:pPr>
              <w:rPr>
                <w:color w:val="000000"/>
                <w:sz w:val="22"/>
                <w:szCs w:val="22"/>
              </w:rPr>
            </w:pPr>
            <w:r>
              <w:rPr>
                <w:color w:val="000000"/>
                <w:sz w:val="22"/>
                <w:szCs w:val="22"/>
              </w:rPr>
              <w:t>Access</w:t>
            </w:r>
          </w:p>
        </w:tc>
        <w:tc>
          <w:tcPr>
            <w:tcW w:w="6031" w:type="dxa"/>
            <w:shd w:val="clear" w:color="auto" w:fill="auto"/>
          </w:tcPr>
          <w:p w:rsidR="00CC69B2" w:rsidRDefault="00CC69B2" w:rsidP="00787881">
            <w:pPr>
              <w:pStyle w:val="NormalWeb"/>
              <w:spacing w:before="0" w:beforeAutospacing="0" w:after="0" w:afterAutospacing="0"/>
              <w:rPr>
                <w:color w:val="000000"/>
                <w:sz w:val="22"/>
                <w:szCs w:val="22"/>
              </w:rPr>
            </w:pPr>
            <w:r>
              <w:rPr>
                <w:color w:val="000000"/>
                <w:sz w:val="22"/>
                <w:szCs w:val="22"/>
              </w:rPr>
              <w:t>Pages 327-372</w:t>
            </w:r>
          </w:p>
          <w:p w:rsidR="00AD16EA" w:rsidRPr="001F4A9D" w:rsidRDefault="009B7C1A" w:rsidP="00787881">
            <w:pPr>
              <w:pStyle w:val="NormalWeb"/>
              <w:spacing w:before="0" w:beforeAutospacing="0" w:after="0" w:afterAutospacing="0"/>
              <w:rPr>
                <w:color w:val="000000"/>
                <w:sz w:val="22"/>
                <w:szCs w:val="22"/>
              </w:rPr>
            </w:pPr>
            <w:hyperlink r:id="rId23" w:history="1">
              <w:proofErr w:type="spellStart"/>
              <w:r w:rsidR="00C369CD" w:rsidRPr="00015C4A">
                <w:rPr>
                  <w:rStyle w:val="Hyperlink"/>
                  <w:sz w:val="22"/>
                  <w:szCs w:val="22"/>
                </w:rPr>
                <w:t>OpenNet</w:t>
              </w:r>
              <w:proofErr w:type="spellEnd"/>
              <w:r w:rsidR="00C369CD" w:rsidRPr="00015C4A">
                <w:rPr>
                  <w:rStyle w:val="Hyperlink"/>
                  <w:sz w:val="22"/>
                  <w:szCs w:val="22"/>
                </w:rPr>
                <w:t xml:space="preserve"> Imitative</w:t>
              </w:r>
            </w:hyperlink>
          </w:p>
        </w:tc>
      </w:tr>
      <w:tr w:rsidR="003D3E58" w:rsidRPr="001F4A9D" w:rsidTr="001F4A9D">
        <w:trPr>
          <w:trHeight w:val="300"/>
        </w:trPr>
        <w:tc>
          <w:tcPr>
            <w:tcW w:w="982" w:type="dxa"/>
            <w:shd w:val="clear" w:color="auto" w:fill="auto"/>
            <w:hideMark/>
          </w:tcPr>
          <w:p w:rsidR="003D3E58" w:rsidRDefault="00D10F56" w:rsidP="00DD3536">
            <w:pPr>
              <w:rPr>
                <w:color w:val="000000"/>
                <w:sz w:val="22"/>
                <w:szCs w:val="22"/>
              </w:rPr>
            </w:pPr>
            <w:r>
              <w:rPr>
                <w:color w:val="000000"/>
                <w:sz w:val="22"/>
                <w:szCs w:val="22"/>
              </w:rPr>
              <w:t>10</w:t>
            </w:r>
          </w:p>
          <w:p w:rsidR="00D10F56" w:rsidRPr="001F4A9D" w:rsidRDefault="003A1ED8" w:rsidP="00DD3536">
            <w:pPr>
              <w:rPr>
                <w:color w:val="000000"/>
                <w:sz w:val="22"/>
                <w:szCs w:val="22"/>
              </w:rPr>
            </w:pPr>
            <w:r>
              <w:rPr>
                <w:color w:val="000000"/>
                <w:sz w:val="22"/>
                <w:szCs w:val="22"/>
              </w:rPr>
              <w:t>3/23</w:t>
            </w:r>
          </w:p>
        </w:tc>
        <w:tc>
          <w:tcPr>
            <w:tcW w:w="1800" w:type="dxa"/>
            <w:shd w:val="clear" w:color="auto" w:fill="auto"/>
            <w:hideMark/>
          </w:tcPr>
          <w:p w:rsidR="003D3E58" w:rsidRPr="000B6FD5" w:rsidRDefault="005B32B1" w:rsidP="00DD3536">
            <w:pPr>
              <w:rPr>
                <w:color w:val="000000"/>
                <w:sz w:val="22"/>
                <w:szCs w:val="22"/>
              </w:rPr>
            </w:pPr>
            <w:r w:rsidRPr="000B6FD5">
              <w:rPr>
                <w:color w:val="000000"/>
                <w:sz w:val="22"/>
                <w:szCs w:val="22"/>
              </w:rPr>
              <w:t>Trademarks and Domain Names</w:t>
            </w:r>
          </w:p>
        </w:tc>
        <w:tc>
          <w:tcPr>
            <w:tcW w:w="6031" w:type="dxa"/>
            <w:shd w:val="clear" w:color="auto" w:fill="auto"/>
            <w:hideMark/>
          </w:tcPr>
          <w:p w:rsidR="003D3E58" w:rsidRPr="000B6FD5" w:rsidRDefault="00DC7D24" w:rsidP="000B6FD5">
            <w:pPr>
              <w:contextualSpacing/>
              <w:textAlignment w:val="baseline"/>
              <w:rPr>
                <w:color w:val="000000"/>
                <w:sz w:val="22"/>
                <w:szCs w:val="22"/>
              </w:rPr>
            </w:pPr>
            <w:r w:rsidRPr="000B6FD5">
              <w:rPr>
                <w:color w:val="000000"/>
                <w:sz w:val="22"/>
                <w:szCs w:val="22"/>
              </w:rPr>
              <w:t xml:space="preserve">Pages </w:t>
            </w:r>
            <w:r w:rsidR="005B32B1" w:rsidRPr="000B6FD5">
              <w:rPr>
                <w:color w:val="000000"/>
                <w:sz w:val="22"/>
                <w:szCs w:val="22"/>
              </w:rPr>
              <w:t>373-446</w:t>
            </w:r>
          </w:p>
          <w:p w:rsidR="000B6FD5" w:rsidRPr="000B6FD5" w:rsidRDefault="000B6FD5" w:rsidP="000B6FD5">
            <w:pPr>
              <w:contextualSpacing/>
              <w:textAlignment w:val="baseline"/>
              <w:rPr>
                <w:color w:val="000000"/>
                <w:sz w:val="22"/>
                <w:szCs w:val="22"/>
              </w:rPr>
            </w:pPr>
            <w:proofErr w:type="spellStart"/>
            <w:r w:rsidRPr="000B6FD5">
              <w:rPr>
                <w:sz w:val="22"/>
                <w:szCs w:val="22"/>
              </w:rPr>
              <w:t>Chih</w:t>
            </w:r>
            <w:proofErr w:type="spellEnd"/>
            <w:r w:rsidRPr="000B6FD5">
              <w:rPr>
                <w:sz w:val="22"/>
                <w:szCs w:val="22"/>
              </w:rPr>
              <w:t xml:space="preserve">-Hong (Henry) Tsai, </w:t>
            </w:r>
            <w:hyperlink r:id="rId24" w:history="1">
              <w:r w:rsidRPr="000B6FD5">
                <w:rPr>
                  <w:rStyle w:val="Hyperlink"/>
                  <w:i/>
                  <w:sz w:val="22"/>
                  <w:szCs w:val="22"/>
                </w:rPr>
                <w:t>The Trademark/Domain Name Protection War: A Comparative Study of the U.S., UDRP and Taiwanese Law</w:t>
              </w:r>
            </w:hyperlink>
            <w:r w:rsidRPr="000B6FD5">
              <w:rPr>
                <w:sz w:val="22"/>
                <w:szCs w:val="22"/>
              </w:rPr>
              <w:t xml:space="preserve">, 12 J. Marshall Rev. </w:t>
            </w:r>
            <w:proofErr w:type="spellStart"/>
            <w:r w:rsidRPr="000B6FD5">
              <w:rPr>
                <w:sz w:val="22"/>
                <w:szCs w:val="22"/>
              </w:rPr>
              <w:t>Intell</w:t>
            </w:r>
            <w:proofErr w:type="spellEnd"/>
            <w:r w:rsidRPr="000B6FD5">
              <w:rPr>
                <w:sz w:val="22"/>
                <w:szCs w:val="22"/>
              </w:rPr>
              <w:t>. Prop. L. 350 (2013).</w:t>
            </w:r>
          </w:p>
        </w:tc>
        <w:bookmarkStart w:id="0" w:name="_GoBack"/>
        <w:bookmarkEnd w:id="0"/>
      </w:tr>
      <w:tr w:rsidR="003D3E58" w:rsidRPr="001F4A9D" w:rsidTr="001F4A9D">
        <w:trPr>
          <w:trHeight w:val="300"/>
        </w:trPr>
        <w:tc>
          <w:tcPr>
            <w:tcW w:w="982" w:type="dxa"/>
            <w:shd w:val="clear" w:color="auto" w:fill="auto"/>
            <w:hideMark/>
          </w:tcPr>
          <w:p w:rsidR="003D3E58" w:rsidRDefault="00CE048F" w:rsidP="00DD3536">
            <w:pPr>
              <w:rPr>
                <w:color w:val="000000"/>
                <w:sz w:val="22"/>
                <w:szCs w:val="22"/>
              </w:rPr>
            </w:pPr>
            <w:r w:rsidRPr="001F4A9D">
              <w:rPr>
                <w:color w:val="000000"/>
                <w:sz w:val="22"/>
                <w:szCs w:val="22"/>
              </w:rPr>
              <w:t>1</w:t>
            </w:r>
            <w:r w:rsidR="00A24DAD">
              <w:rPr>
                <w:color w:val="000000"/>
                <w:sz w:val="22"/>
                <w:szCs w:val="22"/>
              </w:rPr>
              <w:t>1</w:t>
            </w:r>
          </w:p>
          <w:p w:rsidR="00D10F56" w:rsidRPr="001F4A9D" w:rsidRDefault="00D10F56" w:rsidP="00DD3536">
            <w:pPr>
              <w:rPr>
                <w:color w:val="000000"/>
                <w:sz w:val="22"/>
                <w:szCs w:val="22"/>
              </w:rPr>
            </w:pPr>
            <w:r>
              <w:rPr>
                <w:color w:val="000000"/>
                <w:sz w:val="22"/>
                <w:szCs w:val="22"/>
              </w:rPr>
              <w:t>3/</w:t>
            </w:r>
            <w:r w:rsidR="003A1ED8">
              <w:rPr>
                <w:color w:val="000000"/>
                <w:sz w:val="22"/>
                <w:szCs w:val="22"/>
              </w:rPr>
              <w:t>30</w:t>
            </w:r>
          </w:p>
        </w:tc>
        <w:tc>
          <w:tcPr>
            <w:tcW w:w="1800" w:type="dxa"/>
            <w:shd w:val="clear" w:color="auto" w:fill="auto"/>
            <w:hideMark/>
          </w:tcPr>
          <w:p w:rsidR="003D3E58" w:rsidRPr="001F4A9D" w:rsidRDefault="005B32B1" w:rsidP="00BA25B6">
            <w:pPr>
              <w:rPr>
                <w:color w:val="000000"/>
                <w:sz w:val="22"/>
                <w:szCs w:val="22"/>
              </w:rPr>
            </w:pPr>
            <w:r>
              <w:rPr>
                <w:color w:val="000000"/>
                <w:sz w:val="22"/>
                <w:szCs w:val="22"/>
              </w:rPr>
              <w:t>Copyrights and Patents</w:t>
            </w:r>
          </w:p>
        </w:tc>
        <w:tc>
          <w:tcPr>
            <w:tcW w:w="6031" w:type="dxa"/>
            <w:shd w:val="clear" w:color="auto" w:fill="auto"/>
            <w:hideMark/>
          </w:tcPr>
          <w:p w:rsidR="003D3E58" w:rsidRDefault="00DC7D24" w:rsidP="005B32B1">
            <w:pPr>
              <w:pStyle w:val="ColorfulList-Accent11"/>
              <w:ind w:left="0"/>
              <w:rPr>
                <w:color w:val="000000"/>
                <w:sz w:val="22"/>
                <w:szCs w:val="22"/>
              </w:rPr>
            </w:pPr>
            <w:r w:rsidRPr="001F4A9D">
              <w:rPr>
                <w:color w:val="000000"/>
                <w:sz w:val="22"/>
                <w:szCs w:val="22"/>
              </w:rPr>
              <w:t xml:space="preserve">Pages </w:t>
            </w:r>
            <w:r w:rsidR="005B32B1">
              <w:rPr>
                <w:color w:val="000000"/>
                <w:sz w:val="22"/>
                <w:szCs w:val="22"/>
              </w:rPr>
              <w:t>447-</w:t>
            </w:r>
            <w:r w:rsidR="005B32B1" w:rsidRPr="001F4A9D">
              <w:rPr>
                <w:color w:val="000000"/>
                <w:sz w:val="22"/>
                <w:szCs w:val="22"/>
              </w:rPr>
              <w:t>583</w:t>
            </w:r>
            <w:r w:rsidR="005B32B1">
              <w:rPr>
                <w:color w:val="000000"/>
                <w:sz w:val="22"/>
                <w:szCs w:val="22"/>
              </w:rPr>
              <w:t xml:space="preserve"> (edit pages)</w:t>
            </w:r>
          </w:p>
          <w:p w:rsidR="00C369CD" w:rsidRPr="00C369CD" w:rsidRDefault="009B7C1A" w:rsidP="005B32B1">
            <w:pPr>
              <w:pStyle w:val="ColorfulList-Accent11"/>
              <w:ind w:left="0"/>
              <w:rPr>
                <w:color w:val="000000"/>
                <w:sz w:val="22"/>
                <w:szCs w:val="22"/>
              </w:rPr>
            </w:pPr>
            <w:hyperlink r:id="rId25" w:history="1">
              <w:r w:rsidR="00AE10A3" w:rsidRPr="00AE10A3">
                <w:rPr>
                  <w:rStyle w:val="Hyperlink"/>
                  <w:sz w:val="22"/>
                  <w:szCs w:val="22"/>
                </w:rPr>
                <w:t>Comparative Analysis of National Approaches to the Liability of Internet Intermediaries for Infringement of Copyright and Related Rights</w:t>
              </w:r>
            </w:hyperlink>
            <w:r w:rsidR="00AE10A3">
              <w:rPr>
                <w:color w:val="000000"/>
                <w:sz w:val="22"/>
                <w:szCs w:val="22"/>
              </w:rPr>
              <w:t>, WIPO Report (Apr. 30, 2014).</w:t>
            </w:r>
          </w:p>
        </w:tc>
      </w:tr>
      <w:tr w:rsidR="003D3E58" w:rsidRPr="001F4A9D" w:rsidTr="001F4A9D">
        <w:trPr>
          <w:trHeight w:val="300"/>
        </w:trPr>
        <w:tc>
          <w:tcPr>
            <w:tcW w:w="982" w:type="dxa"/>
            <w:shd w:val="clear" w:color="auto" w:fill="auto"/>
            <w:hideMark/>
          </w:tcPr>
          <w:p w:rsidR="003D3E58" w:rsidRDefault="00757A4F" w:rsidP="00DD3536">
            <w:pPr>
              <w:rPr>
                <w:color w:val="000000"/>
                <w:sz w:val="22"/>
                <w:szCs w:val="22"/>
              </w:rPr>
            </w:pPr>
            <w:r w:rsidRPr="001F4A9D">
              <w:rPr>
                <w:color w:val="000000"/>
                <w:sz w:val="22"/>
                <w:szCs w:val="22"/>
              </w:rPr>
              <w:t>1</w:t>
            </w:r>
            <w:r w:rsidR="00A24DAD">
              <w:rPr>
                <w:color w:val="000000"/>
                <w:sz w:val="22"/>
                <w:szCs w:val="22"/>
              </w:rPr>
              <w:t>2</w:t>
            </w:r>
          </w:p>
          <w:p w:rsidR="00D10F56" w:rsidRPr="001F4A9D" w:rsidRDefault="003A1ED8" w:rsidP="00DD3536">
            <w:pPr>
              <w:rPr>
                <w:color w:val="000000"/>
                <w:sz w:val="22"/>
                <w:szCs w:val="22"/>
              </w:rPr>
            </w:pPr>
            <w:r>
              <w:rPr>
                <w:color w:val="000000"/>
                <w:sz w:val="22"/>
                <w:szCs w:val="22"/>
              </w:rPr>
              <w:t>4/6</w:t>
            </w:r>
          </w:p>
        </w:tc>
        <w:tc>
          <w:tcPr>
            <w:tcW w:w="1800" w:type="dxa"/>
            <w:shd w:val="clear" w:color="auto" w:fill="auto"/>
            <w:hideMark/>
          </w:tcPr>
          <w:p w:rsidR="003D3E58" w:rsidRPr="001F4A9D" w:rsidRDefault="00277127" w:rsidP="00DD3536">
            <w:pPr>
              <w:rPr>
                <w:color w:val="000000"/>
                <w:sz w:val="22"/>
                <w:szCs w:val="22"/>
              </w:rPr>
            </w:pPr>
            <w:r w:rsidRPr="001F4A9D">
              <w:rPr>
                <w:color w:val="000000"/>
                <w:sz w:val="22"/>
                <w:szCs w:val="22"/>
              </w:rPr>
              <w:t>Private powers</w:t>
            </w:r>
          </w:p>
        </w:tc>
        <w:tc>
          <w:tcPr>
            <w:tcW w:w="6031" w:type="dxa"/>
            <w:shd w:val="clear" w:color="auto" w:fill="auto"/>
            <w:hideMark/>
          </w:tcPr>
          <w:p w:rsidR="003D3E58" w:rsidRDefault="00DC7D24" w:rsidP="00277127">
            <w:pPr>
              <w:rPr>
                <w:color w:val="000000"/>
                <w:sz w:val="22"/>
                <w:szCs w:val="22"/>
              </w:rPr>
            </w:pPr>
            <w:r w:rsidRPr="001F4A9D">
              <w:rPr>
                <w:color w:val="000000"/>
                <w:sz w:val="22"/>
                <w:szCs w:val="22"/>
              </w:rPr>
              <w:t>Pages 583-642</w:t>
            </w:r>
          </w:p>
          <w:p w:rsidR="00AD16EA" w:rsidRPr="00AE10A3" w:rsidRDefault="00AE10A3" w:rsidP="00277127">
            <w:pPr>
              <w:rPr>
                <w:color w:val="000000"/>
                <w:sz w:val="22"/>
                <w:szCs w:val="22"/>
              </w:rPr>
            </w:pPr>
            <w:proofErr w:type="spellStart"/>
            <w:r>
              <w:rPr>
                <w:color w:val="000000"/>
                <w:sz w:val="22"/>
                <w:szCs w:val="22"/>
              </w:rPr>
              <w:t>Urs</w:t>
            </w:r>
            <w:proofErr w:type="spellEnd"/>
            <w:r>
              <w:rPr>
                <w:color w:val="000000"/>
                <w:sz w:val="22"/>
                <w:szCs w:val="22"/>
              </w:rPr>
              <w:t xml:space="preserve"> Gasser and Wolfgang Schulz, </w:t>
            </w:r>
            <w:hyperlink r:id="rId26" w:history="1">
              <w:r w:rsidRPr="00AE10A3">
                <w:rPr>
                  <w:rStyle w:val="Hyperlink"/>
                  <w:i/>
                  <w:sz w:val="22"/>
                  <w:szCs w:val="22"/>
                </w:rPr>
                <w:t>Governance of Online Intermediaries: Observations from a Series of National Case Studies</w:t>
              </w:r>
            </w:hyperlink>
            <w:r>
              <w:rPr>
                <w:color w:val="000000"/>
                <w:sz w:val="22"/>
                <w:szCs w:val="22"/>
              </w:rPr>
              <w:t>, Berkman Center Research Publication (Feb. 2015).</w:t>
            </w:r>
          </w:p>
        </w:tc>
      </w:tr>
      <w:tr w:rsidR="003D3E58" w:rsidRPr="001F4A9D" w:rsidTr="001F4A9D">
        <w:trPr>
          <w:trHeight w:val="300"/>
        </w:trPr>
        <w:tc>
          <w:tcPr>
            <w:tcW w:w="982" w:type="dxa"/>
            <w:shd w:val="clear" w:color="auto" w:fill="auto"/>
            <w:hideMark/>
          </w:tcPr>
          <w:p w:rsidR="003D3E58" w:rsidRDefault="00757A4F" w:rsidP="00DD3536">
            <w:pPr>
              <w:rPr>
                <w:color w:val="000000"/>
                <w:sz w:val="22"/>
                <w:szCs w:val="22"/>
              </w:rPr>
            </w:pPr>
            <w:r w:rsidRPr="001F4A9D">
              <w:rPr>
                <w:color w:val="000000"/>
                <w:sz w:val="22"/>
                <w:szCs w:val="22"/>
              </w:rPr>
              <w:t>1</w:t>
            </w:r>
            <w:r w:rsidR="00A24DAD">
              <w:rPr>
                <w:color w:val="000000"/>
                <w:sz w:val="22"/>
                <w:szCs w:val="22"/>
              </w:rPr>
              <w:t>3</w:t>
            </w:r>
          </w:p>
          <w:p w:rsidR="00D10F56" w:rsidRPr="001F4A9D" w:rsidRDefault="00D10F56" w:rsidP="00DD3536">
            <w:pPr>
              <w:rPr>
                <w:color w:val="000000"/>
                <w:sz w:val="22"/>
                <w:szCs w:val="22"/>
              </w:rPr>
            </w:pPr>
            <w:r>
              <w:rPr>
                <w:color w:val="000000"/>
                <w:sz w:val="22"/>
                <w:szCs w:val="22"/>
              </w:rPr>
              <w:t>TBD</w:t>
            </w:r>
          </w:p>
        </w:tc>
        <w:tc>
          <w:tcPr>
            <w:tcW w:w="1800" w:type="dxa"/>
            <w:shd w:val="clear" w:color="auto" w:fill="auto"/>
            <w:hideMark/>
          </w:tcPr>
          <w:p w:rsidR="003D3E58" w:rsidRPr="001F4A9D" w:rsidRDefault="005B32B1" w:rsidP="00DD3536">
            <w:pPr>
              <w:rPr>
                <w:color w:val="000000"/>
                <w:sz w:val="22"/>
                <w:szCs w:val="22"/>
              </w:rPr>
            </w:pPr>
            <w:r>
              <w:rPr>
                <w:color w:val="000000"/>
                <w:sz w:val="22"/>
                <w:szCs w:val="22"/>
              </w:rPr>
              <w:t>International governance</w:t>
            </w:r>
          </w:p>
        </w:tc>
        <w:tc>
          <w:tcPr>
            <w:tcW w:w="6031" w:type="dxa"/>
            <w:shd w:val="clear" w:color="auto" w:fill="auto"/>
            <w:hideMark/>
          </w:tcPr>
          <w:p w:rsidR="005B32B1" w:rsidRDefault="000B6FD5" w:rsidP="00DD3536">
            <w:pPr>
              <w:rPr>
                <w:color w:val="000000"/>
                <w:sz w:val="22"/>
                <w:szCs w:val="22"/>
              </w:rPr>
            </w:pPr>
            <w:r>
              <w:rPr>
                <w:color w:val="000000"/>
                <w:sz w:val="22"/>
                <w:szCs w:val="22"/>
              </w:rPr>
              <w:t xml:space="preserve">Laura </w:t>
            </w:r>
            <w:proofErr w:type="spellStart"/>
            <w:r>
              <w:rPr>
                <w:color w:val="000000"/>
                <w:sz w:val="22"/>
                <w:szCs w:val="22"/>
              </w:rPr>
              <w:t>DeNardis</w:t>
            </w:r>
            <w:proofErr w:type="spellEnd"/>
            <w:r>
              <w:rPr>
                <w:color w:val="000000"/>
                <w:sz w:val="22"/>
                <w:szCs w:val="22"/>
              </w:rPr>
              <w:t xml:space="preserve">, </w:t>
            </w:r>
            <w:hyperlink r:id="rId27" w:history="1">
              <w:r w:rsidRPr="000B6FD5">
                <w:rPr>
                  <w:rStyle w:val="Hyperlink"/>
                  <w:i/>
                  <w:sz w:val="22"/>
                  <w:szCs w:val="22"/>
                </w:rPr>
                <w:t>The Emerging Field of Internet Governance</w:t>
              </w:r>
            </w:hyperlink>
            <w:r>
              <w:rPr>
                <w:color w:val="000000"/>
                <w:sz w:val="22"/>
                <w:szCs w:val="22"/>
              </w:rPr>
              <w:t xml:space="preserve"> (2010).</w:t>
            </w:r>
          </w:p>
          <w:p w:rsidR="000B6FD5" w:rsidRPr="000B6FD5" w:rsidRDefault="000B6FD5" w:rsidP="00DD3536">
            <w:pPr>
              <w:rPr>
                <w:color w:val="000000"/>
                <w:sz w:val="22"/>
                <w:szCs w:val="22"/>
              </w:rPr>
            </w:pPr>
            <w:r>
              <w:rPr>
                <w:color w:val="000000"/>
                <w:sz w:val="22"/>
                <w:szCs w:val="22"/>
              </w:rPr>
              <w:t>Guest speaker</w:t>
            </w:r>
          </w:p>
          <w:p w:rsidR="003D3E58" w:rsidRPr="001F4A9D" w:rsidRDefault="003D3E58" w:rsidP="00DD3536">
            <w:pPr>
              <w:rPr>
                <w:color w:val="000000"/>
                <w:sz w:val="22"/>
                <w:szCs w:val="22"/>
              </w:rPr>
            </w:pPr>
          </w:p>
        </w:tc>
      </w:tr>
      <w:tr w:rsidR="00A24DAD" w:rsidRPr="001F4A9D" w:rsidTr="001F4A9D">
        <w:trPr>
          <w:trHeight w:val="300"/>
        </w:trPr>
        <w:tc>
          <w:tcPr>
            <w:tcW w:w="982" w:type="dxa"/>
            <w:shd w:val="clear" w:color="auto" w:fill="auto"/>
          </w:tcPr>
          <w:p w:rsidR="00A24DAD" w:rsidRDefault="00A24DAD" w:rsidP="00DD3536">
            <w:pPr>
              <w:rPr>
                <w:color w:val="000000"/>
                <w:sz w:val="22"/>
                <w:szCs w:val="22"/>
              </w:rPr>
            </w:pPr>
            <w:r>
              <w:rPr>
                <w:color w:val="000000"/>
                <w:sz w:val="22"/>
                <w:szCs w:val="22"/>
              </w:rPr>
              <w:t>14</w:t>
            </w:r>
          </w:p>
          <w:p w:rsidR="00D10F56" w:rsidRPr="001F4A9D" w:rsidRDefault="003A1ED8" w:rsidP="00DD3536">
            <w:pPr>
              <w:rPr>
                <w:color w:val="000000"/>
                <w:sz w:val="22"/>
                <w:szCs w:val="22"/>
              </w:rPr>
            </w:pPr>
            <w:r>
              <w:rPr>
                <w:color w:val="000000"/>
                <w:sz w:val="22"/>
                <w:szCs w:val="22"/>
              </w:rPr>
              <w:t>TBD</w:t>
            </w:r>
          </w:p>
        </w:tc>
        <w:tc>
          <w:tcPr>
            <w:tcW w:w="1800" w:type="dxa"/>
            <w:shd w:val="clear" w:color="auto" w:fill="auto"/>
          </w:tcPr>
          <w:p w:rsidR="00A24DAD" w:rsidRDefault="005F2F7C" w:rsidP="00DD3536">
            <w:pPr>
              <w:rPr>
                <w:color w:val="000000"/>
                <w:sz w:val="22"/>
                <w:szCs w:val="22"/>
              </w:rPr>
            </w:pPr>
            <w:r>
              <w:rPr>
                <w:color w:val="000000"/>
                <w:sz w:val="22"/>
                <w:szCs w:val="22"/>
              </w:rPr>
              <w:t>Recap</w:t>
            </w:r>
          </w:p>
        </w:tc>
        <w:tc>
          <w:tcPr>
            <w:tcW w:w="6031" w:type="dxa"/>
            <w:shd w:val="clear" w:color="auto" w:fill="auto"/>
          </w:tcPr>
          <w:p w:rsidR="00A24DAD" w:rsidRDefault="005F2F7C" w:rsidP="00DD3536">
            <w:pPr>
              <w:rPr>
                <w:color w:val="000000"/>
                <w:sz w:val="22"/>
                <w:szCs w:val="22"/>
              </w:rPr>
            </w:pPr>
            <w:r>
              <w:rPr>
                <w:color w:val="000000"/>
                <w:sz w:val="22"/>
                <w:szCs w:val="22"/>
              </w:rPr>
              <w:t>Study session and feedback</w:t>
            </w:r>
          </w:p>
          <w:p w:rsidR="00AD16EA" w:rsidRDefault="00AD16EA" w:rsidP="00DD3536">
            <w:pPr>
              <w:rPr>
                <w:color w:val="000000"/>
                <w:sz w:val="22"/>
                <w:szCs w:val="22"/>
              </w:rPr>
            </w:pPr>
          </w:p>
        </w:tc>
      </w:tr>
      <w:tr w:rsidR="00DC7D24" w:rsidRPr="001F4A9D" w:rsidTr="001F4A9D">
        <w:trPr>
          <w:trHeight w:val="300"/>
        </w:trPr>
        <w:tc>
          <w:tcPr>
            <w:tcW w:w="982" w:type="dxa"/>
            <w:shd w:val="clear" w:color="auto" w:fill="auto"/>
          </w:tcPr>
          <w:p w:rsidR="00DC7D24" w:rsidRPr="001F4A9D" w:rsidRDefault="00D10F56" w:rsidP="00DD3536">
            <w:pPr>
              <w:rPr>
                <w:color w:val="000000"/>
                <w:sz w:val="22"/>
                <w:szCs w:val="22"/>
              </w:rPr>
            </w:pPr>
            <w:r>
              <w:rPr>
                <w:color w:val="000000"/>
                <w:sz w:val="22"/>
                <w:szCs w:val="22"/>
              </w:rPr>
              <w:t>4/13</w:t>
            </w:r>
          </w:p>
        </w:tc>
        <w:tc>
          <w:tcPr>
            <w:tcW w:w="1800" w:type="dxa"/>
            <w:shd w:val="clear" w:color="auto" w:fill="auto"/>
          </w:tcPr>
          <w:p w:rsidR="00DC7D24" w:rsidRPr="001F4A9D" w:rsidRDefault="005B32B1" w:rsidP="00DD3536">
            <w:pPr>
              <w:rPr>
                <w:color w:val="000000"/>
                <w:sz w:val="22"/>
                <w:szCs w:val="22"/>
              </w:rPr>
            </w:pPr>
            <w:r>
              <w:rPr>
                <w:color w:val="000000"/>
                <w:sz w:val="22"/>
                <w:szCs w:val="22"/>
              </w:rPr>
              <w:t xml:space="preserve">Final exam </w:t>
            </w:r>
          </w:p>
        </w:tc>
        <w:tc>
          <w:tcPr>
            <w:tcW w:w="6031" w:type="dxa"/>
            <w:shd w:val="clear" w:color="auto" w:fill="auto"/>
          </w:tcPr>
          <w:p w:rsidR="00DC7D24" w:rsidRDefault="005B32B1" w:rsidP="00DD3536">
            <w:pPr>
              <w:rPr>
                <w:color w:val="000000"/>
                <w:sz w:val="22"/>
                <w:szCs w:val="22"/>
              </w:rPr>
            </w:pPr>
            <w:r>
              <w:rPr>
                <w:color w:val="000000"/>
                <w:sz w:val="22"/>
                <w:szCs w:val="22"/>
              </w:rPr>
              <w:t>To me via email – due by 11:59PM</w:t>
            </w:r>
          </w:p>
          <w:p w:rsidR="00AD16EA" w:rsidRPr="001F4A9D" w:rsidRDefault="00AD16EA" w:rsidP="00DD3536">
            <w:pPr>
              <w:rPr>
                <w:color w:val="000000"/>
                <w:sz w:val="22"/>
                <w:szCs w:val="22"/>
              </w:rPr>
            </w:pPr>
          </w:p>
        </w:tc>
      </w:tr>
    </w:tbl>
    <w:p w:rsidR="00202D4F" w:rsidRPr="001F4A9D" w:rsidRDefault="00202D4F" w:rsidP="008A4BD2">
      <w:pPr>
        <w:rPr>
          <w:b/>
          <w:sz w:val="22"/>
          <w:szCs w:val="22"/>
        </w:rPr>
      </w:pPr>
    </w:p>
    <w:sectPr w:rsidR="00202D4F" w:rsidRPr="001F4A9D" w:rsidSect="00277127">
      <w:headerReference w:type="defaul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C1A" w:rsidRDefault="009B7C1A">
      <w:r>
        <w:separator/>
      </w:r>
    </w:p>
  </w:endnote>
  <w:endnote w:type="continuationSeparator" w:id="0">
    <w:p w:rsidR="009B7C1A" w:rsidRDefault="009B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C1A" w:rsidRDefault="009B7C1A">
      <w:r>
        <w:separator/>
      </w:r>
    </w:p>
  </w:footnote>
  <w:footnote w:type="continuationSeparator" w:id="0">
    <w:p w:rsidR="009B7C1A" w:rsidRDefault="009B7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EC3" w:rsidRDefault="00041EC3" w:rsidP="009E7F40">
    <w:pPr>
      <w:pStyle w:val="Header"/>
      <w:tabs>
        <w:tab w:val="clear" w:pos="4320"/>
        <w:tab w:val="center" w:pos="3150"/>
      </w:tabs>
    </w:pPr>
  </w:p>
  <w:tbl>
    <w:tblPr>
      <w:tblW w:w="0" w:type="auto"/>
      <w:tblLook w:val="04A0" w:firstRow="1" w:lastRow="0" w:firstColumn="1" w:lastColumn="0" w:noHBand="0" w:noVBand="1"/>
    </w:tblPr>
    <w:tblGrid>
      <w:gridCol w:w="4771"/>
      <w:gridCol w:w="4805"/>
    </w:tblGrid>
    <w:tr w:rsidR="00041EC3" w:rsidTr="007530AB">
      <w:tc>
        <w:tcPr>
          <w:tcW w:w="5508" w:type="dxa"/>
        </w:tcPr>
        <w:p w:rsidR="00041EC3" w:rsidRPr="00207F5C" w:rsidRDefault="00041EC3" w:rsidP="007530AB">
          <w:pPr>
            <w:pStyle w:val="Header"/>
            <w:tabs>
              <w:tab w:val="clear" w:pos="4320"/>
              <w:tab w:val="center" w:pos="3150"/>
            </w:tabs>
          </w:pPr>
          <w:r>
            <w:rPr>
              <w:noProof/>
            </w:rPr>
            <w:drawing>
              <wp:inline distT="0" distB="0" distL="0" distR="0" wp14:anchorId="66E4AD47" wp14:editId="6DD87234">
                <wp:extent cx="1466850" cy="1466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t.jpg"/>
                        <pic:cNvPicPr/>
                      </pic:nvPicPr>
                      <pic:blipFill>
                        <a:blip r:embed="rId1">
                          <a:extLst>
                            <a:ext uri="{28A0092B-C50C-407E-A947-70E740481C1C}">
                              <a14:useLocalDpi xmlns:a14="http://schemas.microsoft.com/office/drawing/2010/main" val="0"/>
                            </a:ext>
                          </a:extLst>
                        </a:blip>
                        <a:stretch>
                          <a:fillRect/>
                        </a:stretch>
                      </pic:blipFill>
                      <pic:spPr>
                        <a:xfrm>
                          <a:off x="0" y="0"/>
                          <a:ext cx="1466850" cy="1466850"/>
                        </a:xfrm>
                        <a:prstGeom prst="rect">
                          <a:avLst/>
                        </a:prstGeom>
                      </pic:spPr>
                    </pic:pic>
                  </a:graphicData>
                </a:graphic>
              </wp:inline>
            </w:drawing>
          </w:r>
        </w:p>
      </w:tc>
      <w:tc>
        <w:tcPr>
          <w:tcW w:w="5508" w:type="dxa"/>
        </w:tcPr>
        <w:p w:rsidR="00041EC3" w:rsidRPr="00E9300C" w:rsidRDefault="00041EC3" w:rsidP="007530AB">
          <w:pPr>
            <w:pStyle w:val="Header"/>
            <w:tabs>
              <w:tab w:val="clear" w:pos="4320"/>
              <w:tab w:val="center" w:pos="3150"/>
            </w:tabs>
            <w:jc w:val="right"/>
            <w:rPr>
              <w:rFonts w:asciiTheme="minorHAnsi" w:hAnsiTheme="minorHAnsi" w:cs="Calibri"/>
              <w:sz w:val="22"/>
            </w:rPr>
          </w:pPr>
          <w:r>
            <w:rPr>
              <w:rFonts w:asciiTheme="minorHAnsi" w:hAnsiTheme="minorHAnsi" w:cs="Calibri"/>
              <w:sz w:val="22"/>
            </w:rPr>
            <w:t>ICT Law &amp; Policy</w:t>
          </w:r>
          <w:r w:rsidR="00ED1150">
            <w:rPr>
              <w:rFonts w:asciiTheme="minorHAnsi" w:hAnsiTheme="minorHAnsi" w:cs="Calibri"/>
              <w:sz w:val="22"/>
            </w:rPr>
            <w:t>, CCTP-658-01</w:t>
          </w:r>
        </w:p>
        <w:p w:rsidR="00041EC3" w:rsidRPr="00E9300C" w:rsidRDefault="00FF79B9" w:rsidP="007530AB">
          <w:pPr>
            <w:pStyle w:val="Header"/>
            <w:tabs>
              <w:tab w:val="clear" w:pos="4320"/>
              <w:tab w:val="center" w:pos="3150"/>
            </w:tabs>
            <w:jc w:val="right"/>
            <w:rPr>
              <w:rFonts w:asciiTheme="minorHAnsi" w:hAnsiTheme="minorHAnsi" w:cs="Calibri"/>
              <w:sz w:val="22"/>
            </w:rPr>
          </w:pPr>
          <w:r>
            <w:rPr>
              <w:rFonts w:asciiTheme="minorHAnsi" w:hAnsiTheme="minorHAnsi" w:cs="Calibri"/>
              <w:sz w:val="22"/>
            </w:rPr>
            <w:t>Spring  Semester 2016</w:t>
          </w:r>
        </w:p>
        <w:p w:rsidR="00041EC3" w:rsidRDefault="005220F4" w:rsidP="004E2F20">
          <w:pPr>
            <w:pStyle w:val="Header"/>
            <w:tabs>
              <w:tab w:val="clear" w:pos="4320"/>
              <w:tab w:val="center" w:pos="3150"/>
            </w:tabs>
            <w:jc w:val="right"/>
            <w:rPr>
              <w:rFonts w:asciiTheme="minorHAnsi" w:hAnsiTheme="minorHAnsi" w:cs="Calibri"/>
              <w:sz w:val="22"/>
            </w:rPr>
          </w:pPr>
          <w:r>
            <w:rPr>
              <w:rFonts w:asciiTheme="minorHAnsi" w:hAnsiTheme="minorHAnsi" w:cs="Calibri"/>
              <w:sz w:val="22"/>
            </w:rPr>
            <w:t>W 2-4:30, Car Barn 317</w:t>
          </w:r>
        </w:p>
        <w:p w:rsidR="00041EC3" w:rsidRPr="004E2F20" w:rsidRDefault="00041EC3" w:rsidP="004E2F20">
          <w:pPr>
            <w:pStyle w:val="Header"/>
            <w:tabs>
              <w:tab w:val="clear" w:pos="4320"/>
              <w:tab w:val="center" w:pos="3150"/>
            </w:tabs>
            <w:jc w:val="right"/>
            <w:rPr>
              <w:rFonts w:asciiTheme="minorHAnsi" w:hAnsiTheme="minorHAnsi" w:cs="Calibri"/>
              <w:sz w:val="22"/>
            </w:rPr>
          </w:pPr>
        </w:p>
        <w:p w:rsidR="00041EC3" w:rsidRPr="00E9300C" w:rsidRDefault="00041EC3" w:rsidP="00E9300C">
          <w:pPr>
            <w:jc w:val="right"/>
            <w:rPr>
              <w:rFonts w:asciiTheme="minorHAnsi" w:hAnsiTheme="minorHAnsi" w:cs="Calibri"/>
              <w:sz w:val="22"/>
              <w:szCs w:val="22"/>
            </w:rPr>
          </w:pPr>
        </w:p>
        <w:p w:rsidR="00041EC3" w:rsidRDefault="00FF79B9" w:rsidP="00E9300C">
          <w:pPr>
            <w:jc w:val="right"/>
            <w:rPr>
              <w:rFonts w:asciiTheme="minorHAnsi" w:hAnsiTheme="minorHAnsi" w:cs="Calibri"/>
              <w:sz w:val="22"/>
              <w:szCs w:val="22"/>
            </w:rPr>
          </w:pPr>
          <w:r>
            <w:rPr>
              <w:rFonts w:asciiTheme="minorHAnsi" w:hAnsiTheme="minorHAnsi" w:cs="Calibri"/>
              <w:sz w:val="22"/>
              <w:szCs w:val="22"/>
            </w:rPr>
            <w:t xml:space="preserve">Meg </w:t>
          </w:r>
          <w:proofErr w:type="spellStart"/>
          <w:r>
            <w:rPr>
              <w:rFonts w:asciiTheme="minorHAnsi" w:hAnsiTheme="minorHAnsi" w:cs="Calibri"/>
              <w:sz w:val="22"/>
              <w:szCs w:val="22"/>
            </w:rPr>
            <w:t>Leta</w:t>
          </w:r>
          <w:proofErr w:type="spellEnd"/>
          <w:r>
            <w:rPr>
              <w:rFonts w:asciiTheme="minorHAnsi" w:hAnsiTheme="minorHAnsi" w:cs="Calibri"/>
              <w:sz w:val="22"/>
              <w:szCs w:val="22"/>
            </w:rPr>
            <w:t xml:space="preserve"> Jones</w:t>
          </w:r>
        </w:p>
        <w:p w:rsidR="00ED452B" w:rsidRPr="00E9300C" w:rsidRDefault="00ED452B" w:rsidP="00E9300C">
          <w:pPr>
            <w:jc w:val="right"/>
            <w:rPr>
              <w:rFonts w:asciiTheme="minorHAnsi" w:hAnsiTheme="minorHAnsi" w:cs="Calibri"/>
              <w:sz w:val="22"/>
              <w:szCs w:val="22"/>
            </w:rPr>
          </w:pPr>
          <w:r>
            <w:rPr>
              <w:rFonts w:asciiTheme="minorHAnsi" w:hAnsiTheme="minorHAnsi" w:cs="Calibri"/>
              <w:sz w:val="22"/>
              <w:szCs w:val="22"/>
            </w:rPr>
            <w:t>Communication, Culture &amp; Technology</w:t>
          </w:r>
        </w:p>
        <w:p w:rsidR="00041EC3" w:rsidRDefault="00ED452B" w:rsidP="00E9300C">
          <w:pPr>
            <w:jc w:val="right"/>
            <w:rPr>
              <w:rFonts w:asciiTheme="minorHAnsi" w:hAnsiTheme="minorHAnsi" w:cs="Calibri"/>
              <w:sz w:val="22"/>
              <w:szCs w:val="22"/>
            </w:rPr>
          </w:pPr>
          <w:r>
            <w:rPr>
              <w:rFonts w:asciiTheme="minorHAnsi" w:hAnsiTheme="minorHAnsi" w:cs="Calibri"/>
              <w:sz w:val="22"/>
              <w:szCs w:val="22"/>
            </w:rPr>
            <w:t>3520 Prospect St. NW, Suite</w:t>
          </w:r>
          <w:r w:rsidR="00AD39F3">
            <w:rPr>
              <w:rFonts w:asciiTheme="minorHAnsi" w:hAnsiTheme="minorHAnsi" w:cs="Calibri"/>
              <w:sz w:val="22"/>
              <w:szCs w:val="22"/>
            </w:rPr>
            <w:t xml:space="preserve"> 311</w:t>
          </w:r>
        </w:p>
        <w:p w:rsidR="00ED452B" w:rsidRPr="00E9300C" w:rsidRDefault="00ED452B" w:rsidP="00E9300C">
          <w:pPr>
            <w:jc w:val="right"/>
            <w:rPr>
              <w:rFonts w:asciiTheme="minorHAnsi" w:hAnsiTheme="minorHAnsi" w:cs="Calibri"/>
              <w:sz w:val="22"/>
              <w:szCs w:val="22"/>
            </w:rPr>
          </w:pPr>
          <w:r>
            <w:rPr>
              <w:rFonts w:asciiTheme="minorHAnsi" w:hAnsiTheme="minorHAnsi" w:cs="Calibri"/>
              <w:sz w:val="22"/>
              <w:szCs w:val="22"/>
            </w:rPr>
            <w:t>Washington, DC 20057</w:t>
          </w:r>
        </w:p>
        <w:p w:rsidR="00041EC3" w:rsidRPr="00207F5C" w:rsidRDefault="00FF79B9" w:rsidP="00E9300C">
          <w:pPr>
            <w:pStyle w:val="Header"/>
            <w:tabs>
              <w:tab w:val="clear" w:pos="4320"/>
              <w:tab w:val="center" w:pos="3150"/>
            </w:tabs>
            <w:jc w:val="right"/>
          </w:pPr>
          <w:hyperlink r:id="rId2" w:history="1">
            <w:r w:rsidRPr="00D00BF7">
              <w:rPr>
                <w:rStyle w:val="Hyperlink"/>
                <w:rFonts w:asciiTheme="minorHAnsi" w:hAnsiTheme="minorHAnsi" w:cs="Calibri"/>
                <w:sz w:val="22"/>
                <w:szCs w:val="22"/>
              </w:rPr>
              <w:t>Ma1318@Georgetown.edu</w:t>
            </w:r>
          </w:hyperlink>
        </w:p>
      </w:tc>
    </w:tr>
  </w:tbl>
  <w:p w:rsidR="00041EC3" w:rsidRPr="007530AB" w:rsidRDefault="00041EC3" w:rsidP="007530AB">
    <w:pPr>
      <w:pStyle w:val="Header"/>
      <w:tabs>
        <w:tab w:val="clear" w:pos="4320"/>
        <w:tab w:val="center" w:pos="3150"/>
      </w:tabs>
      <w:rPr>
        <w:rFonts w:ascii="Calibri" w:hAnsi="Calibri" w:cs="Calibri"/>
        <w:sz w:val="22"/>
      </w:rPr>
    </w:pPr>
    <w:r>
      <w:tab/>
    </w:r>
    <w:r w:rsidRPr="00323826">
      <w:rPr>
        <w:rFonts w:ascii="Calibri" w:hAnsi="Calibri" w:cs="Calibri"/>
        <w:sz w:val="22"/>
      </w:rPr>
      <w:t xml:space="preserve">                                                              </w:t>
    </w:r>
    <w:r>
      <w:rPr>
        <w:rFonts w:ascii="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448F"/>
    <w:multiLevelType w:val="hybridMultilevel"/>
    <w:tmpl w:val="D9482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FA20F6"/>
    <w:multiLevelType w:val="multilevel"/>
    <w:tmpl w:val="69E00FF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C2D3913"/>
    <w:multiLevelType w:val="multilevel"/>
    <w:tmpl w:val="9FCCCA6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0EE06C68"/>
    <w:multiLevelType w:val="hybridMultilevel"/>
    <w:tmpl w:val="3F5067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D0461AE"/>
    <w:multiLevelType w:val="multilevel"/>
    <w:tmpl w:val="9FCCCA6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2697252C"/>
    <w:multiLevelType w:val="multilevel"/>
    <w:tmpl w:val="9FCCCA6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2C80644D"/>
    <w:multiLevelType w:val="hybridMultilevel"/>
    <w:tmpl w:val="6CCE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497991"/>
    <w:multiLevelType w:val="hybridMultilevel"/>
    <w:tmpl w:val="FBB27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19F2B3D"/>
    <w:multiLevelType w:val="multilevel"/>
    <w:tmpl w:val="1C949EA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49087B11"/>
    <w:multiLevelType w:val="multilevel"/>
    <w:tmpl w:val="089211E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514D425E"/>
    <w:multiLevelType w:val="hybridMultilevel"/>
    <w:tmpl w:val="C4D48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64F2221"/>
    <w:multiLevelType w:val="multilevel"/>
    <w:tmpl w:val="A12EEA7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67DC22A7"/>
    <w:multiLevelType w:val="multilevel"/>
    <w:tmpl w:val="9FCCCA6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696A550D"/>
    <w:multiLevelType w:val="multilevel"/>
    <w:tmpl w:val="1CAEB6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6BF56ED9"/>
    <w:multiLevelType w:val="multilevel"/>
    <w:tmpl w:val="A12EEA7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736367C6"/>
    <w:multiLevelType w:val="multilevel"/>
    <w:tmpl w:val="D46E414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7BAB21A9"/>
    <w:multiLevelType w:val="multilevel"/>
    <w:tmpl w:val="1D7C8BE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6"/>
  </w:num>
  <w:num w:numId="2">
    <w:abstractNumId w:val="2"/>
  </w:num>
  <w:num w:numId="3">
    <w:abstractNumId w:val="16"/>
  </w:num>
  <w:num w:numId="4">
    <w:abstractNumId w:val="8"/>
  </w:num>
  <w:num w:numId="5">
    <w:abstractNumId w:val="13"/>
  </w:num>
  <w:num w:numId="6">
    <w:abstractNumId w:val="3"/>
  </w:num>
  <w:num w:numId="7">
    <w:abstractNumId w:val="4"/>
  </w:num>
  <w:num w:numId="8">
    <w:abstractNumId w:val="5"/>
  </w:num>
  <w:num w:numId="9">
    <w:abstractNumId w:val="1"/>
  </w:num>
  <w:num w:numId="10">
    <w:abstractNumId w:val="14"/>
  </w:num>
  <w:num w:numId="11">
    <w:abstractNumId w:val="12"/>
  </w:num>
  <w:num w:numId="12">
    <w:abstractNumId w:val="15"/>
  </w:num>
  <w:num w:numId="13">
    <w:abstractNumId w:val="9"/>
  </w:num>
  <w:num w:numId="14">
    <w:abstractNumId w:val="10"/>
  </w:num>
  <w:num w:numId="15">
    <w:abstractNumId w:val="7"/>
  </w:num>
  <w:num w:numId="16">
    <w:abstractNumId w:val="11"/>
  </w:num>
  <w:num w:numId="17">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25C"/>
    <w:rsid w:val="00001E7A"/>
    <w:rsid w:val="00002F92"/>
    <w:rsid w:val="00005960"/>
    <w:rsid w:val="00015C4A"/>
    <w:rsid w:val="00030FEE"/>
    <w:rsid w:val="00033827"/>
    <w:rsid w:val="000370BA"/>
    <w:rsid w:val="000401B6"/>
    <w:rsid w:val="00041EC3"/>
    <w:rsid w:val="00046451"/>
    <w:rsid w:val="00046FE1"/>
    <w:rsid w:val="00051F1A"/>
    <w:rsid w:val="000520AA"/>
    <w:rsid w:val="00053FFF"/>
    <w:rsid w:val="00055E7D"/>
    <w:rsid w:val="00055ED7"/>
    <w:rsid w:val="000610A1"/>
    <w:rsid w:val="00063A72"/>
    <w:rsid w:val="00064C30"/>
    <w:rsid w:val="0007002C"/>
    <w:rsid w:val="00072958"/>
    <w:rsid w:val="00081CA2"/>
    <w:rsid w:val="0009197B"/>
    <w:rsid w:val="00091F8D"/>
    <w:rsid w:val="000B25DE"/>
    <w:rsid w:val="000B29D2"/>
    <w:rsid w:val="000B6FD5"/>
    <w:rsid w:val="000C64A1"/>
    <w:rsid w:val="000D2D64"/>
    <w:rsid w:val="000F748F"/>
    <w:rsid w:val="00100546"/>
    <w:rsid w:val="0010210C"/>
    <w:rsid w:val="00106ED2"/>
    <w:rsid w:val="0011389D"/>
    <w:rsid w:val="001144FC"/>
    <w:rsid w:val="00130207"/>
    <w:rsid w:val="00135206"/>
    <w:rsid w:val="00141E41"/>
    <w:rsid w:val="00142EFA"/>
    <w:rsid w:val="00153B25"/>
    <w:rsid w:val="00163F57"/>
    <w:rsid w:val="00165117"/>
    <w:rsid w:val="001A6394"/>
    <w:rsid w:val="001A6FE4"/>
    <w:rsid w:val="001B349D"/>
    <w:rsid w:val="001D157A"/>
    <w:rsid w:val="001D24D9"/>
    <w:rsid w:val="001E3D3E"/>
    <w:rsid w:val="001E4482"/>
    <w:rsid w:val="001E65A7"/>
    <w:rsid w:val="001F18DB"/>
    <w:rsid w:val="001F28DC"/>
    <w:rsid w:val="001F305C"/>
    <w:rsid w:val="001F4A9D"/>
    <w:rsid w:val="001F608C"/>
    <w:rsid w:val="00202D4F"/>
    <w:rsid w:val="00204E19"/>
    <w:rsid w:val="00207F5C"/>
    <w:rsid w:val="00213A48"/>
    <w:rsid w:val="002178A9"/>
    <w:rsid w:val="002220B8"/>
    <w:rsid w:val="00234E9A"/>
    <w:rsid w:val="00235194"/>
    <w:rsid w:val="002402A1"/>
    <w:rsid w:val="0025142A"/>
    <w:rsid w:val="0025253E"/>
    <w:rsid w:val="00267B12"/>
    <w:rsid w:val="00277127"/>
    <w:rsid w:val="00284549"/>
    <w:rsid w:val="00290384"/>
    <w:rsid w:val="002907B9"/>
    <w:rsid w:val="002A5E47"/>
    <w:rsid w:val="002A6ACF"/>
    <w:rsid w:val="002B5763"/>
    <w:rsid w:val="002B6898"/>
    <w:rsid w:val="002D4C5D"/>
    <w:rsid w:val="002E51FF"/>
    <w:rsid w:val="002F232C"/>
    <w:rsid w:val="00311BCE"/>
    <w:rsid w:val="003135E6"/>
    <w:rsid w:val="00323826"/>
    <w:rsid w:val="00345A2F"/>
    <w:rsid w:val="00350412"/>
    <w:rsid w:val="00356F44"/>
    <w:rsid w:val="003A1ED8"/>
    <w:rsid w:val="003B3FD1"/>
    <w:rsid w:val="003C3489"/>
    <w:rsid w:val="003C6B82"/>
    <w:rsid w:val="003D00CC"/>
    <w:rsid w:val="003D1644"/>
    <w:rsid w:val="003D3298"/>
    <w:rsid w:val="003D3E58"/>
    <w:rsid w:val="00421DD0"/>
    <w:rsid w:val="00427FB4"/>
    <w:rsid w:val="00433493"/>
    <w:rsid w:val="00451122"/>
    <w:rsid w:val="004741B0"/>
    <w:rsid w:val="004951FA"/>
    <w:rsid w:val="00495B59"/>
    <w:rsid w:val="004A02E1"/>
    <w:rsid w:val="004A12A5"/>
    <w:rsid w:val="004B258A"/>
    <w:rsid w:val="004C1184"/>
    <w:rsid w:val="004C3051"/>
    <w:rsid w:val="004C37BA"/>
    <w:rsid w:val="004C6F62"/>
    <w:rsid w:val="004D707A"/>
    <w:rsid w:val="004E2F20"/>
    <w:rsid w:val="004E3E06"/>
    <w:rsid w:val="004F4465"/>
    <w:rsid w:val="004F6340"/>
    <w:rsid w:val="005126AE"/>
    <w:rsid w:val="005220F4"/>
    <w:rsid w:val="00522CA5"/>
    <w:rsid w:val="00534B88"/>
    <w:rsid w:val="00536F7B"/>
    <w:rsid w:val="0055518E"/>
    <w:rsid w:val="00556A57"/>
    <w:rsid w:val="00565B91"/>
    <w:rsid w:val="00584B72"/>
    <w:rsid w:val="00594282"/>
    <w:rsid w:val="005977F2"/>
    <w:rsid w:val="005A078F"/>
    <w:rsid w:val="005B32B1"/>
    <w:rsid w:val="005D4FA1"/>
    <w:rsid w:val="005D75C9"/>
    <w:rsid w:val="005F2F7C"/>
    <w:rsid w:val="00613451"/>
    <w:rsid w:val="00613AF8"/>
    <w:rsid w:val="00614534"/>
    <w:rsid w:val="00630429"/>
    <w:rsid w:val="00632C36"/>
    <w:rsid w:val="00663E21"/>
    <w:rsid w:val="00670BEE"/>
    <w:rsid w:val="0068156A"/>
    <w:rsid w:val="00690634"/>
    <w:rsid w:val="006B3673"/>
    <w:rsid w:val="006C13DE"/>
    <w:rsid w:val="006C15AD"/>
    <w:rsid w:val="006D2BEA"/>
    <w:rsid w:val="006D6F3C"/>
    <w:rsid w:val="006E4AA6"/>
    <w:rsid w:val="006E75C0"/>
    <w:rsid w:val="006F6599"/>
    <w:rsid w:val="00702F02"/>
    <w:rsid w:val="0070651F"/>
    <w:rsid w:val="00722F84"/>
    <w:rsid w:val="007354C0"/>
    <w:rsid w:val="00737B69"/>
    <w:rsid w:val="007445B6"/>
    <w:rsid w:val="0074499B"/>
    <w:rsid w:val="007530AB"/>
    <w:rsid w:val="00757A4F"/>
    <w:rsid w:val="007610AC"/>
    <w:rsid w:val="00775E3F"/>
    <w:rsid w:val="007823DB"/>
    <w:rsid w:val="00787881"/>
    <w:rsid w:val="00787A1C"/>
    <w:rsid w:val="007C0670"/>
    <w:rsid w:val="007D05DA"/>
    <w:rsid w:val="007D4D70"/>
    <w:rsid w:val="007D5032"/>
    <w:rsid w:val="007E640F"/>
    <w:rsid w:val="0081299F"/>
    <w:rsid w:val="00814BC3"/>
    <w:rsid w:val="008345A7"/>
    <w:rsid w:val="0084344F"/>
    <w:rsid w:val="008522F0"/>
    <w:rsid w:val="00865926"/>
    <w:rsid w:val="00865E41"/>
    <w:rsid w:val="00870FDD"/>
    <w:rsid w:val="0087174A"/>
    <w:rsid w:val="00873025"/>
    <w:rsid w:val="008A4BD2"/>
    <w:rsid w:val="008D43B0"/>
    <w:rsid w:val="008D58F8"/>
    <w:rsid w:val="008E2C76"/>
    <w:rsid w:val="008F125A"/>
    <w:rsid w:val="008F4387"/>
    <w:rsid w:val="0090691B"/>
    <w:rsid w:val="009105A1"/>
    <w:rsid w:val="00915DF6"/>
    <w:rsid w:val="00916206"/>
    <w:rsid w:val="00966558"/>
    <w:rsid w:val="009673D9"/>
    <w:rsid w:val="0098317F"/>
    <w:rsid w:val="009855A4"/>
    <w:rsid w:val="00990725"/>
    <w:rsid w:val="00991D8C"/>
    <w:rsid w:val="009A55D2"/>
    <w:rsid w:val="009A625C"/>
    <w:rsid w:val="009B51A8"/>
    <w:rsid w:val="009B56A4"/>
    <w:rsid w:val="009B7C1A"/>
    <w:rsid w:val="009C156A"/>
    <w:rsid w:val="009C3AD2"/>
    <w:rsid w:val="009D53B2"/>
    <w:rsid w:val="009E1FEC"/>
    <w:rsid w:val="009E7F40"/>
    <w:rsid w:val="00A07FB4"/>
    <w:rsid w:val="00A24DAD"/>
    <w:rsid w:val="00A27DD2"/>
    <w:rsid w:val="00A30182"/>
    <w:rsid w:val="00A33A93"/>
    <w:rsid w:val="00A36662"/>
    <w:rsid w:val="00A402A8"/>
    <w:rsid w:val="00A42199"/>
    <w:rsid w:val="00A447E0"/>
    <w:rsid w:val="00A71529"/>
    <w:rsid w:val="00A94444"/>
    <w:rsid w:val="00A97AF9"/>
    <w:rsid w:val="00AA294B"/>
    <w:rsid w:val="00AA66DE"/>
    <w:rsid w:val="00AB007E"/>
    <w:rsid w:val="00AB31C0"/>
    <w:rsid w:val="00AD16EA"/>
    <w:rsid w:val="00AD39F3"/>
    <w:rsid w:val="00AE04DE"/>
    <w:rsid w:val="00AE10A3"/>
    <w:rsid w:val="00AE4AA4"/>
    <w:rsid w:val="00AF2CA3"/>
    <w:rsid w:val="00B018FE"/>
    <w:rsid w:val="00B1029C"/>
    <w:rsid w:val="00B23D8A"/>
    <w:rsid w:val="00B26340"/>
    <w:rsid w:val="00B26550"/>
    <w:rsid w:val="00B31D3A"/>
    <w:rsid w:val="00B32AE8"/>
    <w:rsid w:val="00B36D1C"/>
    <w:rsid w:val="00B43CC1"/>
    <w:rsid w:val="00B60633"/>
    <w:rsid w:val="00B84070"/>
    <w:rsid w:val="00BA25B6"/>
    <w:rsid w:val="00BD5127"/>
    <w:rsid w:val="00BE58F5"/>
    <w:rsid w:val="00C051BB"/>
    <w:rsid w:val="00C06270"/>
    <w:rsid w:val="00C171DA"/>
    <w:rsid w:val="00C243D9"/>
    <w:rsid w:val="00C369CD"/>
    <w:rsid w:val="00C433C2"/>
    <w:rsid w:val="00C45B73"/>
    <w:rsid w:val="00C46A1F"/>
    <w:rsid w:val="00C46C74"/>
    <w:rsid w:val="00C62A08"/>
    <w:rsid w:val="00C63FF7"/>
    <w:rsid w:val="00C67641"/>
    <w:rsid w:val="00CA51D9"/>
    <w:rsid w:val="00CB6AC1"/>
    <w:rsid w:val="00CC335C"/>
    <w:rsid w:val="00CC69B2"/>
    <w:rsid w:val="00CC7D76"/>
    <w:rsid w:val="00CE048F"/>
    <w:rsid w:val="00CE734E"/>
    <w:rsid w:val="00CE7937"/>
    <w:rsid w:val="00CF3CE3"/>
    <w:rsid w:val="00D03C90"/>
    <w:rsid w:val="00D10F56"/>
    <w:rsid w:val="00D355AA"/>
    <w:rsid w:val="00D50E7E"/>
    <w:rsid w:val="00D64863"/>
    <w:rsid w:val="00D71348"/>
    <w:rsid w:val="00D80F8F"/>
    <w:rsid w:val="00D9519F"/>
    <w:rsid w:val="00DA069C"/>
    <w:rsid w:val="00DA14AB"/>
    <w:rsid w:val="00DC3B61"/>
    <w:rsid w:val="00DC7D24"/>
    <w:rsid w:val="00DD1462"/>
    <w:rsid w:val="00DD3536"/>
    <w:rsid w:val="00E03124"/>
    <w:rsid w:val="00E1066A"/>
    <w:rsid w:val="00E16F51"/>
    <w:rsid w:val="00E27C46"/>
    <w:rsid w:val="00E3265B"/>
    <w:rsid w:val="00E400CD"/>
    <w:rsid w:val="00E572A2"/>
    <w:rsid w:val="00E71C42"/>
    <w:rsid w:val="00E72EAF"/>
    <w:rsid w:val="00E7590B"/>
    <w:rsid w:val="00E84ED4"/>
    <w:rsid w:val="00E85B11"/>
    <w:rsid w:val="00E9300C"/>
    <w:rsid w:val="00EA3050"/>
    <w:rsid w:val="00EC60AA"/>
    <w:rsid w:val="00ED1150"/>
    <w:rsid w:val="00ED20AA"/>
    <w:rsid w:val="00ED452B"/>
    <w:rsid w:val="00F2166D"/>
    <w:rsid w:val="00F32C89"/>
    <w:rsid w:val="00F80187"/>
    <w:rsid w:val="00F932C6"/>
    <w:rsid w:val="00F93B65"/>
    <w:rsid w:val="00F95B8C"/>
    <w:rsid w:val="00FA4E26"/>
    <w:rsid w:val="00FC7B53"/>
    <w:rsid w:val="00FD7B04"/>
    <w:rsid w:val="00FF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D24D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0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215FE"/>
    <w:rPr>
      <w:color w:val="0000FF"/>
      <w:u w:val="single"/>
    </w:rPr>
  </w:style>
  <w:style w:type="character" w:styleId="Emphasis">
    <w:name w:val="Emphasis"/>
    <w:qFormat/>
    <w:rsid w:val="00C27018"/>
    <w:rPr>
      <w:i/>
      <w:iCs/>
    </w:rPr>
  </w:style>
  <w:style w:type="character" w:customStyle="1" w:styleId="headline011">
    <w:name w:val="headline011"/>
    <w:rsid w:val="00C448A8"/>
    <w:rPr>
      <w:rFonts w:ascii="Verdana" w:hAnsi="Verdana" w:hint="default"/>
      <w:b/>
      <w:bCs/>
      <w:color w:val="000000"/>
      <w:sz w:val="32"/>
      <w:szCs w:val="32"/>
    </w:rPr>
  </w:style>
  <w:style w:type="character" w:customStyle="1" w:styleId="linkfile">
    <w:name w:val="linkfile"/>
    <w:basedOn w:val="DefaultParagraphFont"/>
    <w:rsid w:val="00AC73E1"/>
  </w:style>
  <w:style w:type="paragraph" w:styleId="NormalWeb">
    <w:name w:val="Normal (Web)"/>
    <w:basedOn w:val="Normal"/>
    <w:uiPriority w:val="99"/>
    <w:rsid w:val="00BF436F"/>
    <w:pPr>
      <w:spacing w:before="100" w:beforeAutospacing="1" w:after="100" w:afterAutospacing="1"/>
    </w:pPr>
  </w:style>
  <w:style w:type="character" w:customStyle="1" w:styleId="ps-reg-t1">
    <w:name w:val="ps-reg-t1"/>
    <w:rsid w:val="00695DB9"/>
    <w:rPr>
      <w:sz w:val="20"/>
      <w:szCs w:val="20"/>
    </w:rPr>
  </w:style>
  <w:style w:type="character" w:customStyle="1" w:styleId="policytitle">
    <w:name w:val="policytitle"/>
    <w:basedOn w:val="DefaultParagraphFont"/>
    <w:rsid w:val="00044955"/>
  </w:style>
  <w:style w:type="paragraph" w:styleId="BalloonText">
    <w:name w:val="Balloon Text"/>
    <w:basedOn w:val="Normal"/>
    <w:semiHidden/>
    <w:rsid w:val="00D00598"/>
    <w:rPr>
      <w:rFonts w:ascii="Tahoma" w:hAnsi="Tahoma" w:cs="Tahoma"/>
      <w:sz w:val="16"/>
      <w:szCs w:val="16"/>
    </w:rPr>
  </w:style>
  <w:style w:type="paragraph" w:styleId="Header">
    <w:name w:val="header"/>
    <w:basedOn w:val="Normal"/>
    <w:link w:val="HeaderChar"/>
    <w:uiPriority w:val="99"/>
    <w:rsid w:val="00EA641E"/>
    <w:pPr>
      <w:tabs>
        <w:tab w:val="center" w:pos="4320"/>
        <w:tab w:val="right" w:pos="8640"/>
      </w:tabs>
    </w:pPr>
  </w:style>
  <w:style w:type="paragraph" w:styleId="Footer">
    <w:name w:val="footer"/>
    <w:basedOn w:val="Normal"/>
    <w:rsid w:val="00EA641E"/>
    <w:pPr>
      <w:tabs>
        <w:tab w:val="center" w:pos="4320"/>
        <w:tab w:val="right" w:pos="8640"/>
      </w:tabs>
    </w:pPr>
  </w:style>
  <w:style w:type="character" w:styleId="CommentReference">
    <w:name w:val="annotation reference"/>
    <w:semiHidden/>
    <w:rsid w:val="00096829"/>
    <w:rPr>
      <w:sz w:val="16"/>
      <w:szCs w:val="16"/>
    </w:rPr>
  </w:style>
  <w:style w:type="paragraph" w:styleId="CommentText">
    <w:name w:val="annotation text"/>
    <w:basedOn w:val="Normal"/>
    <w:semiHidden/>
    <w:rsid w:val="00096829"/>
    <w:rPr>
      <w:sz w:val="20"/>
      <w:szCs w:val="20"/>
    </w:rPr>
  </w:style>
  <w:style w:type="paragraph" w:styleId="CommentSubject">
    <w:name w:val="annotation subject"/>
    <w:basedOn w:val="CommentText"/>
    <w:next w:val="CommentText"/>
    <w:semiHidden/>
    <w:rsid w:val="00096829"/>
    <w:rPr>
      <w:b/>
      <w:bCs/>
    </w:rPr>
  </w:style>
  <w:style w:type="paragraph" w:customStyle="1" w:styleId="Default">
    <w:name w:val="Default"/>
    <w:rsid w:val="00362615"/>
    <w:pPr>
      <w:autoSpaceDE w:val="0"/>
      <w:autoSpaceDN w:val="0"/>
      <w:adjustRightInd w:val="0"/>
    </w:pPr>
    <w:rPr>
      <w:color w:val="000000"/>
      <w:sz w:val="24"/>
      <w:szCs w:val="24"/>
    </w:rPr>
  </w:style>
  <w:style w:type="paragraph" w:customStyle="1" w:styleId="ColorfulList-Accent11">
    <w:name w:val="Colorful List - Accent 11"/>
    <w:basedOn w:val="Normal"/>
    <w:uiPriority w:val="34"/>
    <w:qFormat/>
    <w:rsid w:val="00632C36"/>
    <w:pPr>
      <w:ind w:left="720"/>
    </w:pPr>
  </w:style>
  <w:style w:type="paragraph" w:customStyle="1" w:styleId="NoSpacing1">
    <w:name w:val="No Spacing1"/>
    <w:uiPriority w:val="1"/>
    <w:qFormat/>
    <w:rsid w:val="00213A48"/>
    <w:rPr>
      <w:sz w:val="24"/>
      <w:szCs w:val="24"/>
    </w:rPr>
  </w:style>
  <w:style w:type="character" w:customStyle="1" w:styleId="HeaderChar">
    <w:name w:val="Header Char"/>
    <w:link w:val="Header"/>
    <w:uiPriority w:val="99"/>
    <w:rsid w:val="009E7F40"/>
    <w:rPr>
      <w:sz w:val="24"/>
      <w:szCs w:val="24"/>
    </w:rPr>
  </w:style>
  <w:style w:type="character" w:styleId="FollowedHyperlink">
    <w:name w:val="FollowedHyperlink"/>
    <w:uiPriority w:val="99"/>
    <w:semiHidden/>
    <w:unhideWhenUsed/>
    <w:rsid w:val="00702F02"/>
    <w:rPr>
      <w:color w:val="800080"/>
      <w:u w:val="single"/>
    </w:rPr>
  </w:style>
  <w:style w:type="paragraph" w:styleId="ListParagraph">
    <w:name w:val="List Paragraph"/>
    <w:basedOn w:val="Normal"/>
    <w:uiPriority w:val="72"/>
    <w:qFormat/>
    <w:rsid w:val="00630429"/>
    <w:pPr>
      <w:ind w:left="720"/>
      <w:contextualSpacing/>
    </w:pPr>
  </w:style>
  <w:style w:type="character" w:customStyle="1" w:styleId="apple-converted-space">
    <w:name w:val="apple-converted-space"/>
    <w:basedOn w:val="DefaultParagraphFont"/>
    <w:rsid w:val="004741B0"/>
  </w:style>
  <w:style w:type="character" w:styleId="BookTitle">
    <w:name w:val="Book Title"/>
    <w:basedOn w:val="DefaultParagraphFont"/>
    <w:uiPriority w:val="69"/>
    <w:qFormat/>
    <w:rsid w:val="00002F92"/>
    <w:rPr>
      <w:rFonts w:ascii="Georgia" w:hAnsi="Georgia"/>
      <w:b w:val="0"/>
      <w:bCs/>
      <w:smallCaps/>
      <w:spacing w:val="5"/>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D24D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0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215FE"/>
    <w:rPr>
      <w:color w:val="0000FF"/>
      <w:u w:val="single"/>
    </w:rPr>
  </w:style>
  <w:style w:type="character" w:styleId="Emphasis">
    <w:name w:val="Emphasis"/>
    <w:qFormat/>
    <w:rsid w:val="00C27018"/>
    <w:rPr>
      <w:i/>
      <w:iCs/>
    </w:rPr>
  </w:style>
  <w:style w:type="character" w:customStyle="1" w:styleId="headline011">
    <w:name w:val="headline011"/>
    <w:rsid w:val="00C448A8"/>
    <w:rPr>
      <w:rFonts w:ascii="Verdana" w:hAnsi="Verdana" w:hint="default"/>
      <w:b/>
      <w:bCs/>
      <w:color w:val="000000"/>
      <w:sz w:val="32"/>
      <w:szCs w:val="32"/>
    </w:rPr>
  </w:style>
  <w:style w:type="character" w:customStyle="1" w:styleId="linkfile">
    <w:name w:val="linkfile"/>
    <w:basedOn w:val="DefaultParagraphFont"/>
    <w:rsid w:val="00AC73E1"/>
  </w:style>
  <w:style w:type="paragraph" w:styleId="NormalWeb">
    <w:name w:val="Normal (Web)"/>
    <w:basedOn w:val="Normal"/>
    <w:uiPriority w:val="99"/>
    <w:rsid w:val="00BF436F"/>
    <w:pPr>
      <w:spacing w:before="100" w:beforeAutospacing="1" w:after="100" w:afterAutospacing="1"/>
    </w:pPr>
  </w:style>
  <w:style w:type="character" w:customStyle="1" w:styleId="ps-reg-t1">
    <w:name w:val="ps-reg-t1"/>
    <w:rsid w:val="00695DB9"/>
    <w:rPr>
      <w:sz w:val="20"/>
      <w:szCs w:val="20"/>
    </w:rPr>
  </w:style>
  <w:style w:type="character" w:customStyle="1" w:styleId="policytitle">
    <w:name w:val="policytitle"/>
    <w:basedOn w:val="DefaultParagraphFont"/>
    <w:rsid w:val="00044955"/>
  </w:style>
  <w:style w:type="paragraph" w:styleId="BalloonText">
    <w:name w:val="Balloon Text"/>
    <w:basedOn w:val="Normal"/>
    <w:semiHidden/>
    <w:rsid w:val="00D00598"/>
    <w:rPr>
      <w:rFonts w:ascii="Tahoma" w:hAnsi="Tahoma" w:cs="Tahoma"/>
      <w:sz w:val="16"/>
      <w:szCs w:val="16"/>
    </w:rPr>
  </w:style>
  <w:style w:type="paragraph" w:styleId="Header">
    <w:name w:val="header"/>
    <w:basedOn w:val="Normal"/>
    <w:link w:val="HeaderChar"/>
    <w:uiPriority w:val="99"/>
    <w:rsid w:val="00EA641E"/>
    <w:pPr>
      <w:tabs>
        <w:tab w:val="center" w:pos="4320"/>
        <w:tab w:val="right" w:pos="8640"/>
      </w:tabs>
    </w:pPr>
  </w:style>
  <w:style w:type="paragraph" w:styleId="Footer">
    <w:name w:val="footer"/>
    <w:basedOn w:val="Normal"/>
    <w:rsid w:val="00EA641E"/>
    <w:pPr>
      <w:tabs>
        <w:tab w:val="center" w:pos="4320"/>
        <w:tab w:val="right" w:pos="8640"/>
      </w:tabs>
    </w:pPr>
  </w:style>
  <w:style w:type="character" w:styleId="CommentReference">
    <w:name w:val="annotation reference"/>
    <w:semiHidden/>
    <w:rsid w:val="00096829"/>
    <w:rPr>
      <w:sz w:val="16"/>
      <w:szCs w:val="16"/>
    </w:rPr>
  </w:style>
  <w:style w:type="paragraph" w:styleId="CommentText">
    <w:name w:val="annotation text"/>
    <w:basedOn w:val="Normal"/>
    <w:semiHidden/>
    <w:rsid w:val="00096829"/>
    <w:rPr>
      <w:sz w:val="20"/>
      <w:szCs w:val="20"/>
    </w:rPr>
  </w:style>
  <w:style w:type="paragraph" w:styleId="CommentSubject">
    <w:name w:val="annotation subject"/>
    <w:basedOn w:val="CommentText"/>
    <w:next w:val="CommentText"/>
    <w:semiHidden/>
    <w:rsid w:val="00096829"/>
    <w:rPr>
      <w:b/>
      <w:bCs/>
    </w:rPr>
  </w:style>
  <w:style w:type="paragraph" w:customStyle="1" w:styleId="Default">
    <w:name w:val="Default"/>
    <w:rsid w:val="00362615"/>
    <w:pPr>
      <w:autoSpaceDE w:val="0"/>
      <w:autoSpaceDN w:val="0"/>
      <w:adjustRightInd w:val="0"/>
    </w:pPr>
    <w:rPr>
      <w:color w:val="000000"/>
      <w:sz w:val="24"/>
      <w:szCs w:val="24"/>
    </w:rPr>
  </w:style>
  <w:style w:type="paragraph" w:customStyle="1" w:styleId="ColorfulList-Accent11">
    <w:name w:val="Colorful List - Accent 11"/>
    <w:basedOn w:val="Normal"/>
    <w:uiPriority w:val="34"/>
    <w:qFormat/>
    <w:rsid w:val="00632C36"/>
    <w:pPr>
      <w:ind w:left="720"/>
    </w:pPr>
  </w:style>
  <w:style w:type="paragraph" w:customStyle="1" w:styleId="NoSpacing1">
    <w:name w:val="No Spacing1"/>
    <w:uiPriority w:val="1"/>
    <w:qFormat/>
    <w:rsid w:val="00213A48"/>
    <w:rPr>
      <w:sz w:val="24"/>
      <w:szCs w:val="24"/>
    </w:rPr>
  </w:style>
  <w:style w:type="character" w:customStyle="1" w:styleId="HeaderChar">
    <w:name w:val="Header Char"/>
    <w:link w:val="Header"/>
    <w:uiPriority w:val="99"/>
    <w:rsid w:val="009E7F40"/>
    <w:rPr>
      <w:sz w:val="24"/>
      <w:szCs w:val="24"/>
    </w:rPr>
  </w:style>
  <w:style w:type="character" w:styleId="FollowedHyperlink">
    <w:name w:val="FollowedHyperlink"/>
    <w:uiPriority w:val="99"/>
    <w:semiHidden/>
    <w:unhideWhenUsed/>
    <w:rsid w:val="00702F02"/>
    <w:rPr>
      <w:color w:val="800080"/>
      <w:u w:val="single"/>
    </w:rPr>
  </w:style>
  <w:style w:type="paragraph" w:styleId="ListParagraph">
    <w:name w:val="List Paragraph"/>
    <w:basedOn w:val="Normal"/>
    <w:uiPriority w:val="72"/>
    <w:qFormat/>
    <w:rsid w:val="00630429"/>
    <w:pPr>
      <w:ind w:left="720"/>
      <w:contextualSpacing/>
    </w:pPr>
  </w:style>
  <w:style w:type="character" w:customStyle="1" w:styleId="apple-converted-space">
    <w:name w:val="apple-converted-space"/>
    <w:basedOn w:val="DefaultParagraphFont"/>
    <w:rsid w:val="004741B0"/>
  </w:style>
  <w:style w:type="character" w:styleId="BookTitle">
    <w:name w:val="Book Title"/>
    <w:basedOn w:val="DefaultParagraphFont"/>
    <w:uiPriority w:val="69"/>
    <w:qFormat/>
    <w:rsid w:val="00002F92"/>
    <w:rPr>
      <w:rFonts w:ascii="Georgia" w:hAnsi="Georgia"/>
      <w:b w:val="0"/>
      <w:bCs/>
      <w:smallCap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0821">
      <w:bodyDiv w:val="1"/>
      <w:marLeft w:val="0"/>
      <w:marRight w:val="0"/>
      <w:marTop w:val="0"/>
      <w:marBottom w:val="0"/>
      <w:divBdr>
        <w:top w:val="none" w:sz="0" w:space="0" w:color="auto"/>
        <w:left w:val="none" w:sz="0" w:space="0" w:color="auto"/>
        <w:bottom w:val="none" w:sz="0" w:space="0" w:color="auto"/>
        <w:right w:val="none" w:sz="0" w:space="0" w:color="auto"/>
      </w:divBdr>
    </w:div>
    <w:div w:id="43990426">
      <w:bodyDiv w:val="1"/>
      <w:marLeft w:val="0"/>
      <w:marRight w:val="0"/>
      <w:marTop w:val="0"/>
      <w:marBottom w:val="0"/>
      <w:divBdr>
        <w:top w:val="none" w:sz="0" w:space="0" w:color="auto"/>
        <w:left w:val="none" w:sz="0" w:space="0" w:color="auto"/>
        <w:bottom w:val="none" w:sz="0" w:space="0" w:color="auto"/>
        <w:right w:val="none" w:sz="0" w:space="0" w:color="auto"/>
      </w:divBdr>
    </w:div>
    <w:div w:id="69810610">
      <w:bodyDiv w:val="1"/>
      <w:marLeft w:val="0"/>
      <w:marRight w:val="0"/>
      <w:marTop w:val="0"/>
      <w:marBottom w:val="0"/>
      <w:divBdr>
        <w:top w:val="none" w:sz="0" w:space="0" w:color="auto"/>
        <w:left w:val="none" w:sz="0" w:space="0" w:color="auto"/>
        <w:bottom w:val="none" w:sz="0" w:space="0" w:color="auto"/>
        <w:right w:val="none" w:sz="0" w:space="0" w:color="auto"/>
      </w:divBdr>
    </w:div>
    <w:div w:id="187380978">
      <w:bodyDiv w:val="1"/>
      <w:marLeft w:val="0"/>
      <w:marRight w:val="0"/>
      <w:marTop w:val="0"/>
      <w:marBottom w:val="0"/>
      <w:divBdr>
        <w:top w:val="none" w:sz="0" w:space="0" w:color="auto"/>
        <w:left w:val="none" w:sz="0" w:space="0" w:color="auto"/>
        <w:bottom w:val="none" w:sz="0" w:space="0" w:color="auto"/>
        <w:right w:val="none" w:sz="0" w:space="0" w:color="auto"/>
      </w:divBdr>
    </w:div>
    <w:div w:id="195506309">
      <w:bodyDiv w:val="1"/>
      <w:marLeft w:val="0"/>
      <w:marRight w:val="0"/>
      <w:marTop w:val="0"/>
      <w:marBottom w:val="0"/>
      <w:divBdr>
        <w:top w:val="none" w:sz="0" w:space="0" w:color="auto"/>
        <w:left w:val="none" w:sz="0" w:space="0" w:color="auto"/>
        <w:bottom w:val="none" w:sz="0" w:space="0" w:color="auto"/>
        <w:right w:val="none" w:sz="0" w:space="0" w:color="auto"/>
      </w:divBdr>
    </w:div>
    <w:div w:id="271136718">
      <w:bodyDiv w:val="1"/>
      <w:marLeft w:val="0"/>
      <w:marRight w:val="0"/>
      <w:marTop w:val="0"/>
      <w:marBottom w:val="0"/>
      <w:divBdr>
        <w:top w:val="none" w:sz="0" w:space="0" w:color="auto"/>
        <w:left w:val="none" w:sz="0" w:space="0" w:color="auto"/>
        <w:bottom w:val="none" w:sz="0" w:space="0" w:color="auto"/>
        <w:right w:val="none" w:sz="0" w:space="0" w:color="auto"/>
      </w:divBdr>
    </w:div>
    <w:div w:id="278875107">
      <w:bodyDiv w:val="1"/>
      <w:marLeft w:val="0"/>
      <w:marRight w:val="0"/>
      <w:marTop w:val="0"/>
      <w:marBottom w:val="0"/>
      <w:divBdr>
        <w:top w:val="none" w:sz="0" w:space="0" w:color="auto"/>
        <w:left w:val="none" w:sz="0" w:space="0" w:color="auto"/>
        <w:bottom w:val="none" w:sz="0" w:space="0" w:color="auto"/>
        <w:right w:val="none" w:sz="0" w:space="0" w:color="auto"/>
      </w:divBdr>
    </w:div>
    <w:div w:id="340394081">
      <w:bodyDiv w:val="1"/>
      <w:marLeft w:val="0"/>
      <w:marRight w:val="0"/>
      <w:marTop w:val="0"/>
      <w:marBottom w:val="0"/>
      <w:divBdr>
        <w:top w:val="none" w:sz="0" w:space="0" w:color="auto"/>
        <w:left w:val="none" w:sz="0" w:space="0" w:color="auto"/>
        <w:bottom w:val="none" w:sz="0" w:space="0" w:color="auto"/>
        <w:right w:val="none" w:sz="0" w:space="0" w:color="auto"/>
      </w:divBdr>
    </w:div>
    <w:div w:id="392117733">
      <w:bodyDiv w:val="1"/>
      <w:marLeft w:val="0"/>
      <w:marRight w:val="0"/>
      <w:marTop w:val="0"/>
      <w:marBottom w:val="0"/>
      <w:divBdr>
        <w:top w:val="none" w:sz="0" w:space="0" w:color="auto"/>
        <w:left w:val="none" w:sz="0" w:space="0" w:color="auto"/>
        <w:bottom w:val="none" w:sz="0" w:space="0" w:color="auto"/>
        <w:right w:val="none" w:sz="0" w:space="0" w:color="auto"/>
      </w:divBdr>
    </w:div>
    <w:div w:id="536740127">
      <w:bodyDiv w:val="1"/>
      <w:marLeft w:val="0"/>
      <w:marRight w:val="0"/>
      <w:marTop w:val="0"/>
      <w:marBottom w:val="0"/>
      <w:divBdr>
        <w:top w:val="none" w:sz="0" w:space="0" w:color="auto"/>
        <w:left w:val="none" w:sz="0" w:space="0" w:color="auto"/>
        <w:bottom w:val="none" w:sz="0" w:space="0" w:color="auto"/>
        <w:right w:val="none" w:sz="0" w:space="0" w:color="auto"/>
      </w:divBdr>
    </w:div>
    <w:div w:id="634600414">
      <w:bodyDiv w:val="1"/>
      <w:marLeft w:val="0"/>
      <w:marRight w:val="0"/>
      <w:marTop w:val="0"/>
      <w:marBottom w:val="0"/>
      <w:divBdr>
        <w:top w:val="none" w:sz="0" w:space="0" w:color="auto"/>
        <w:left w:val="none" w:sz="0" w:space="0" w:color="auto"/>
        <w:bottom w:val="none" w:sz="0" w:space="0" w:color="auto"/>
        <w:right w:val="none" w:sz="0" w:space="0" w:color="auto"/>
      </w:divBdr>
    </w:div>
    <w:div w:id="887959298">
      <w:bodyDiv w:val="1"/>
      <w:marLeft w:val="0"/>
      <w:marRight w:val="0"/>
      <w:marTop w:val="0"/>
      <w:marBottom w:val="0"/>
      <w:divBdr>
        <w:top w:val="none" w:sz="0" w:space="0" w:color="auto"/>
        <w:left w:val="none" w:sz="0" w:space="0" w:color="auto"/>
        <w:bottom w:val="none" w:sz="0" w:space="0" w:color="auto"/>
        <w:right w:val="none" w:sz="0" w:space="0" w:color="auto"/>
      </w:divBdr>
    </w:div>
    <w:div w:id="954021221">
      <w:bodyDiv w:val="1"/>
      <w:marLeft w:val="0"/>
      <w:marRight w:val="0"/>
      <w:marTop w:val="0"/>
      <w:marBottom w:val="0"/>
      <w:divBdr>
        <w:top w:val="none" w:sz="0" w:space="0" w:color="auto"/>
        <w:left w:val="none" w:sz="0" w:space="0" w:color="auto"/>
        <w:bottom w:val="none" w:sz="0" w:space="0" w:color="auto"/>
        <w:right w:val="none" w:sz="0" w:space="0" w:color="auto"/>
      </w:divBdr>
    </w:div>
    <w:div w:id="1087263266">
      <w:bodyDiv w:val="1"/>
      <w:marLeft w:val="0"/>
      <w:marRight w:val="0"/>
      <w:marTop w:val="0"/>
      <w:marBottom w:val="0"/>
      <w:divBdr>
        <w:top w:val="none" w:sz="0" w:space="0" w:color="auto"/>
        <w:left w:val="none" w:sz="0" w:space="0" w:color="auto"/>
        <w:bottom w:val="none" w:sz="0" w:space="0" w:color="auto"/>
        <w:right w:val="none" w:sz="0" w:space="0" w:color="auto"/>
      </w:divBdr>
    </w:div>
    <w:div w:id="1375082580">
      <w:bodyDiv w:val="1"/>
      <w:marLeft w:val="0"/>
      <w:marRight w:val="0"/>
      <w:marTop w:val="0"/>
      <w:marBottom w:val="0"/>
      <w:divBdr>
        <w:top w:val="none" w:sz="0" w:space="0" w:color="auto"/>
        <w:left w:val="none" w:sz="0" w:space="0" w:color="auto"/>
        <w:bottom w:val="none" w:sz="0" w:space="0" w:color="auto"/>
        <w:right w:val="none" w:sz="0" w:space="0" w:color="auto"/>
      </w:divBdr>
    </w:div>
    <w:div w:id="1405570818">
      <w:bodyDiv w:val="1"/>
      <w:marLeft w:val="0"/>
      <w:marRight w:val="0"/>
      <w:marTop w:val="0"/>
      <w:marBottom w:val="0"/>
      <w:divBdr>
        <w:top w:val="none" w:sz="0" w:space="0" w:color="auto"/>
        <w:left w:val="none" w:sz="0" w:space="0" w:color="auto"/>
        <w:bottom w:val="none" w:sz="0" w:space="0" w:color="auto"/>
        <w:right w:val="none" w:sz="0" w:space="0" w:color="auto"/>
      </w:divBdr>
    </w:div>
    <w:div w:id="1467896822">
      <w:bodyDiv w:val="1"/>
      <w:marLeft w:val="0"/>
      <w:marRight w:val="0"/>
      <w:marTop w:val="0"/>
      <w:marBottom w:val="0"/>
      <w:divBdr>
        <w:top w:val="none" w:sz="0" w:space="0" w:color="auto"/>
        <w:left w:val="none" w:sz="0" w:space="0" w:color="auto"/>
        <w:bottom w:val="none" w:sz="0" w:space="0" w:color="auto"/>
        <w:right w:val="none" w:sz="0" w:space="0" w:color="auto"/>
      </w:divBdr>
    </w:div>
    <w:div w:id="1750928123">
      <w:bodyDiv w:val="1"/>
      <w:marLeft w:val="0"/>
      <w:marRight w:val="0"/>
      <w:marTop w:val="0"/>
      <w:marBottom w:val="0"/>
      <w:divBdr>
        <w:top w:val="none" w:sz="0" w:space="0" w:color="auto"/>
        <w:left w:val="none" w:sz="0" w:space="0" w:color="auto"/>
        <w:bottom w:val="none" w:sz="0" w:space="0" w:color="auto"/>
        <w:right w:val="none" w:sz="0" w:space="0" w:color="auto"/>
      </w:divBdr>
    </w:div>
    <w:div w:id="1756003382">
      <w:bodyDiv w:val="1"/>
      <w:marLeft w:val="0"/>
      <w:marRight w:val="0"/>
      <w:marTop w:val="0"/>
      <w:marBottom w:val="0"/>
      <w:divBdr>
        <w:top w:val="none" w:sz="0" w:space="0" w:color="auto"/>
        <w:left w:val="none" w:sz="0" w:space="0" w:color="auto"/>
        <w:bottom w:val="none" w:sz="0" w:space="0" w:color="auto"/>
        <w:right w:val="none" w:sz="0" w:space="0" w:color="auto"/>
      </w:divBdr>
      <w:divsChild>
        <w:div w:id="1522357650">
          <w:marLeft w:val="0"/>
          <w:marRight w:val="0"/>
          <w:marTop w:val="0"/>
          <w:marBottom w:val="0"/>
          <w:divBdr>
            <w:top w:val="none" w:sz="0" w:space="0" w:color="auto"/>
            <w:left w:val="none" w:sz="0" w:space="0" w:color="auto"/>
            <w:bottom w:val="none" w:sz="0" w:space="0" w:color="auto"/>
            <w:right w:val="none" w:sz="0" w:space="0" w:color="auto"/>
          </w:divBdr>
          <w:divsChild>
            <w:div w:id="1494175001">
              <w:marLeft w:val="0"/>
              <w:marRight w:val="0"/>
              <w:marTop w:val="0"/>
              <w:marBottom w:val="0"/>
              <w:divBdr>
                <w:top w:val="none" w:sz="0" w:space="0" w:color="auto"/>
                <w:left w:val="none" w:sz="0" w:space="0" w:color="auto"/>
                <w:bottom w:val="none" w:sz="0" w:space="0" w:color="auto"/>
                <w:right w:val="none" w:sz="0" w:space="0" w:color="auto"/>
              </w:divBdr>
              <w:divsChild>
                <w:div w:id="539169065">
                  <w:marLeft w:val="0"/>
                  <w:marRight w:val="0"/>
                  <w:marTop w:val="0"/>
                  <w:marBottom w:val="0"/>
                  <w:divBdr>
                    <w:top w:val="none" w:sz="0" w:space="0" w:color="auto"/>
                    <w:left w:val="none" w:sz="0" w:space="0" w:color="auto"/>
                    <w:bottom w:val="none" w:sz="0" w:space="0" w:color="auto"/>
                    <w:right w:val="none" w:sz="0" w:space="0" w:color="auto"/>
                  </w:divBdr>
                  <w:divsChild>
                    <w:div w:id="12547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605089">
      <w:bodyDiv w:val="1"/>
      <w:marLeft w:val="0"/>
      <w:marRight w:val="0"/>
      <w:marTop w:val="0"/>
      <w:marBottom w:val="0"/>
      <w:divBdr>
        <w:top w:val="none" w:sz="0" w:space="0" w:color="auto"/>
        <w:left w:val="none" w:sz="0" w:space="0" w:color="auto"/>
        <w:bottom w:val="none" w:sz="0" w:space="0" w:color="auto"/>
        <w:right w:val="none" w:sz="0" w:space="0" w:color="auto"/>
      </w:divBdr>
    </w:div>
    <w:div w:id="1862939265">
      <w:bodyDiv w:val="1"/>
      <w:marLeft w:val="0"/>
      <w:marRight w:val="0"/>
      <w:marTop w:val="0"/>
      <w:marBottom w:val="0"/>
      <w:divBdr>
        <w:top w:val="none" w:sz="0" w:space="0" w:color="auto"/>
        <w:left w:val="none" w:sz="0" w:space="0" w:color="auto"/>
        <w:bottom w:val="none" w:sz="0" w:space="0" w:color="auto"/>
        <w:right w:val="none" w:sz="0" w:space="0" w:color="auto"/>
      </w:divBdr>
    </w:div>
    <w:div w:id="1898778532">
      <w:bodyDiv w:val="1"/>
      <w:marLeft w:val="0"/>
      <w:marRight w:val="0"/>
      <w:marTop w:val="0"/>
      <w:marBottom w:val="0"/>
      <w:divBdr>
        <w:top w:val="none" w:sz="0" w:space="0" w:color="auto"/>
        <w:left w:val="none" w:sz="0" w:space="0" w:color="auto"/>
        <w:bottom w:val="none" w:sz="0" w:space="0" w:color="auto"/>
        <w:right w:val="none" w:sz="0" w:space="0" w:color="auto"/>
      </w:divBdr>
    </w:div>
    <w:div w:id="2052026915">
      <w:bodyDiv w:val="1"/>
      <w:marLeft w:val="0"/>
      <w:marRight w:val="0"/>
      <w:marTop w:val="0"/>
      <w:marBottom w:val="0"/>
      <w:divBdr>
        <w:top w:val="none" w:sz="0" w:space="0" w:color="auto"/>
        <w:left w:val="none" w:sz="0" w:space="0" w:color="auto"/>
        <w:bottom w:val="none" w:sz="0" w:space="0" w:color="auto"/>
        <w:right w:val="none" w:sz="0" w:space="0" w:color="auto"/>
      </w:divBdr>
    </w:div>
    <w:div w:id="2084796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ervaseprograms.georgetown.edu/honor/system/" TargetMode="External"/><Relationship Id="rId18" Type="http://schemas.openxmlformats.org/officeDocument/2006/relationships/hyperlink" Target="https://opennet.net/sites/opennet.net/files/Deibert_04_Ch03_057-072.pdf" TargetMode="External"/><Relationship Id="rId26" Type="http://schemas.openxmlformats.org/officeDocument/2006/relationships/hyperlink" Target="http://papers.ssrn.com/sol3/Papers.cfm?abstract_id=2566364" TargetMode="External"/><Relationship Id="rId3" Type="http://schemas.openxmlformats.org/officeDocument/2006/relationships/styles" Target="styles.xml"/><Relationship Id="rId21" Type="http://schemas.openxmlformats.org/officeDocument/2006/relationships/hyperlink" Target="http://idpl.oxfordjournals.org/content/4/2/96.full.pdf+html" TargetMode="External"/><Relationship Id="rId7" Type="http://schemas.openxmlformats.org/officeDocument/2006/relationships/footnotes" Target="footnotes.xml"/><Relationship Id="rId12" Type="http://schemas.openxmlformats.org/officeDocument/2006/relationships/hyperlink" Target="http://compliance.georgetown.edu/" TargetMode="External"/><Relationship Id="rId17" Type="http://schemas.openxmlformats.org/officeDocument/2006/relationships/hyperlink" Target="http://www.nytimes.com/video/us/100000002507537/scalded-by-coffee-then-news-media.html" TargetMode="External"/><Relationship Id="rId25" Type="http://schemas.openxmlformats.org/officeDocument/2006/relationships/hyperlink" Target="http://www.wipo.int/export/sites/www/copyright/en/doc/liability_of_internet_intermediaries_garrote.pdf" TargetMode="External"/><Relationship Id="rId2" Type="http://schemas.openxmlformats.org/officeDocument/2006/relationships/numbering" Target="numbering.xml"/><Relationship Id="rId16" Type="http://schemas.openxmlformats.org/officeDocument/2006/relationships/hyperlink" Target="http://www.volokh.com/files/howtoreadv2.pdf" TargetMode="External"/><Relationship Id="rId20" Type="http://schemas.openxmlformats.org/officeDocument/2006/relationships/hyperlink" Target="http://ijlit.oxfordjournals.org/content/18/3/227.full.pdf+html?sid=18cdd935-1f4b-4fb8-bc57-b093b15f643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dentconduct.georgetown.edu/files/Code%20of%20Conduct%202013.pdf" TargetMode="External"/><Relationship Id="rId24" Type="http://schemas.openxmlformats.org/officeDocument/2006/relationships/hyperlink" Target="http://repository.jmls.edu/cgi/viewcontent.cgi?article=1301&amp;context=ripl" TargetMode="External"/><Relationship Id="rId5" Type="http://schemas.openxmlformats.org/officeDocument/2006/relationships/settings" Target="settings.xml"/><Relationship Id="rId15" Type="http://schemas.openxmlformats.org/officeDocument/2006/relationships/hyperlink" Target="https://www.law.georgetown.edu/academics/academic-programs/legal-writing-scholarship/writing-center/upload/Using-Cases-in-Legal-Analysis-Revised.pdf" TargetMode="External"/><Relationship Id="rId23" Type="http://schemas.openxmlformats.org/officeDocument/2006/relationships/hyperlink" Target="https://opennet.net/" TargetMode="External"/><Relationship Id="rId28" Type="http://schemas.openxmlformats.org/officeDocument/2006/relationships/header" Target="header1.xml"/><Relationship Id="rId10" Type="http://schemas.openxmlformats.org/officeDocument/2006/relationships/hyperlink" Target="http://campusministry.georgetown.edu/files/Campus%20Ministry%20Religious%20Days%202013-14.pdf" TargetMode="External"/><Relationship Id="rId19" Type="http://schemas.openxmlformats.org/officeDocument/2006/relationships/hyperlink" Target="http://ijlit.oxfordjournals.org/content/18/2/176.full.pdf+html?sid=18cdd935-1f4b-4fb8-bc57-b093b15f643e" TargetMode="External"/><Relationship Id="rId4" Type="http://schemas.microsoft.com/office/2007/relationships/stylesWithEffects" Target="stylesWithEffects.xml"/><Relationship Id="rId9" Type="http://schemas.openxmlformats.org/officeDocument/2006/relationships/hyperlink" Target="http://academicsupport.georgetown.edu/disability/" TargetMode="External"/><Relationship Id="rId14" Type="http://schemas.openxmlformats.org/officeDocument/2006/relationships/hyperlink" Target="https://www.law.georgetown.edu/academics/academic-programs/legal-writing-scholarship/writing-center/upload/statutoryinterpretation.pdf" TargetMode="External"/><Relationship Id="rId22" Type="http://schemas.openxmlformats.org/officeDocument/2006/relationships/hyperlink" Target="http://www.wsj.com/articles/SB10001424127887324338604578328393797127094" TargetMode="External"/><Relationship Id="rId27" Type="http://schemas.openxmlformats.org/officeDocument/2006/relationships/hyperlink" Target="http://papers.ssrn.com/sol3/papers.cfm?abstract_id=1678343"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Ma1318@Georgetown.edu"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7E5C0-2BB8-493E-81F1-8D9957543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1939</Words>
  <Characters>11055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GEOG 3682: Geography of International Development</vt:lpstr>
    </vt:vector>
  </TitlesOfParts>
  <Company>Hewlett-Packard Company</Company>
  <LinksUpToDate>false</LinksUpToDate>
  <CharactersWithSpaces>12969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 3682: Geography of International Development</dc:title>
  <dc:creator>Claire</dc:creator>
  <cp:lastModifiedBy>Administrator</cp:lastModifiedBy>
  <cp:revision>5</cp:revision>
  <cp:lastPrinted>2016-01-11T18:49:00Z</cp:lastPrinted>
  <dcterms:created xsi:type="dcterms:W3CDTF">2016-01-11T18:49:00Z</dcterms:created>
  <dcterms:modified xsi:type="dcterms:W3CDTF">2016-01-11T19:20:00Z</dcterms:modified>
</cp:coreProperties>
</file>